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АКТ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90</w:t>
      </w:r>
      <w:r>
        <w:rPr>
          <w:color w:val="000000" w:themeColor="text1"/>
        </w:rPr>
        <w:t xml:space="preserve"> от </w:t>
      </w:r>
      <w:r>
        <w:rPr>
          <w:color w:val="000000" w:themeColor="text1"/>
        </w:rPr>
        <w:t xml:space="preserve">01 апреля 2021</w:t>
      </w:r>
      <w:r>
        <w:rPr>
          <w:color w:val="000000" w:themeColor="text1"/>
        </w:rPr>
        <w:t xml:space="preserve"> го</w:t>
      </w:r>
      <w:r>
        <w:rPr>
          <w:color w:val="000000" w:themeColor="text1"/>
        </w:rPr>
        <w:t xml:space="preserve">да  заведующим сектором экономики и финансов - главным бухгалтером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прядухиной Н.Н.,  консультантом сектора экономики и  финансов Колчан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средств из областного бюджета, а также поступление и расходование средств,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000000" w:themeColor="text1"/>
        </w:rPr>
        <w:t xml:space="preserve"> г. по 31.12.2020</w:t>
      </w:r>
      <w:r>
        <w:rPr>
          <w:color w:val="000000" w:themeColor="text1"/>
        </w:rPr>
        <w:t xml:space="preserve"> г. ОГБУ «Редакция газеты «Нейские вести</w:t>
      </w:r>
      <w:r>
        <w:rPr>
          <w:color w:val="000000" w:themeColor="text1"/>
        </w:rPr>
        <w:t xml:space="preserve">». Проверка проводилась в департаменте информац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главного редактора ОГБУ «Редакция газеты «Нейские вести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  <w:t xml:space="preserve"> Виноградова М.В.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right"/>
        <w:rPr>
          <w:color w:val="000000" w:themeColor="text1"/>
        </w:rPr>
      </w:pPr>
      <w:r>
        <w:rPr>
          <w:color w:val="000000" w:themeColor="text1"/>
        </w:rPr>
        <w:t xml:space="preserve">Проверка начата 17 мая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right"/>
        <w:rPr>
          <w:color w:val="000000" w:themeColor="text1"/>
        </w:rPr>
      </w:pPr>
      <w:r>
        <w:rPr>
          <w:color w:val="000000" w:themeColor="text1"/>
        </w:rPr>
        <w:t xml:space="preserve">Закончена  31 мая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 xml:space="preserve">Сведения о проверяемой организации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u w:val="none"/>
        </w:rPr>
      </w:pPr>
      <w:r>
        <w:rPr>
          <w:color w:val="000000" w:themeColor="text1"/>
        </w:rPr>
        <w:t xml:space="preserve">Учредителем ОГБУ «Редакция газеты «Нейские вести</w:t>
      </w:r>
      <w:r>
        <w:rPr>
          <w:color w:val="000000" w:themeColor="text1"/>
        </w:rPr>
        <w:t xml:space="preserve">» явл</w:t>
      </w:r>
      <w:r>
        <w:rPr>
          <w:color w:val="000000" w:themeColor="text1"/>
        </w:rPr>
        <w:t xml:space="preserve">яется департамент информационной политики, анализа и развития коммуникационных ресурсов Костромской области. </w:t>
      </w:r>
      <w:r>
        <w:rPr>
          <w:color w:val="000000" w:themeColor="text1"/>
        </w:rPr>
        <w:t xml:space="preserve">За весь проверяемый период главным редактором газеты являлся Виноградов М.В., главным бухгалтером являлась Тетюшина Л.А. с </w:t>
      </w:r>
      <w:hyperlink r:id="rId10" w:tooltip="http://01.01.2020" w:history="1">
        <w:r>
          <w:rPr>
            <w:rStyle w:val="906"/>
            <w:color w:val="000000" w:themeColor="text1"/>
            <w:u w:val="none"/>
          </w:rPr>
          <w:t xml:space="preserve">01.01.2020</w:t>
        </w:r>
      </w:hyperlink>
      <w:r>
        <w:rPr>
          <w:color w:val="000000" w:themeColor="text1"/>
          <w:u w:val="none"/>
        </w:rPr>
        <w:t xml:space="preserve"> по </w:t>
      </w:r>
      <w:hyperlink r:id="rId11" w:tooltip="http://30.04.2020" w:history="1">
        <w:r>
          <w:rPr>
            <w:rStyle w:val="906"/>
            <w:color w:val="000000" w:themeColor="text1"/>
            <w:u w:val="none"/>
          </w:rPr>
          <w:t xml:space="preserve">30.04.2020</w:t>
        </w:r>
      </w:hyperlink>
      <w:r>
        <w:rPr>
          <w:color w:val="000000" w:themeColor="text1"/>
          <w:u w:val="none"/>
        </w:rPr>
        <w:t xml:space="preserve">, Синельникова Н.Л.</w:t>
      </w:r>
      <w:r>
        <w:rPr>
          <w:color w:val="000000" w:themeColor="text1"/>
          <w:u w:val="none"/>
        </w:rPr>
        <w:t xml:space="preserve"> с </w:t>
      </w:r>
      <w:hyperlink r:id="rId12" w:tooltip="http://01.05.2020" w:history="1">
        <w:r>
          <w:rPr>
            <w:rStyle w:val="906"/>
            <w:color w:val="000000" w:themeColor="text1"/>
            <w:u w:val="none"/>
          </w:rPr>
          <w:t xml:space="preserve">01.05.2020</w:t>
        </w:r>
      </w:hyperlink>
      <w:r>
        <w:rPr>
          <w:color w:val="000000" w:themeColor="text1"/>
          <w:u w:val="none"/>
        </w:rPr>
        <w:t xml:space="preserve"> по 31.12.2020.</w:t>
      </w:r>
      <w:r>
        <w:rPr>
          <w:color w:val="000000" w:themeColor="text1"/>
          <w:u w:val="none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000000" w:themeColor="text1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Юридический адрес: Костромская область, Нейский р-н, г. Нея, ул.Советская, д. 39.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ИНН/КПП 4406000288/440601001.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осуществляет свою деятельность на основании Устава ОГБУ «Редакция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Основными целями являются: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вающие интересы населения;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гих вопросов, интересующих читателей газеты;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ного издания –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в соответствии с примерной тематикой, заявленной учредит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страции средства массовой информации.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достижения целей Учреждение уполномочено осуществлять следующие виды деятел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ности: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и приложений к ней;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осуществление в соответствии с Законом РФ № 2124-1 от 2712.1991 «О средс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динений и их должностных лиц;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в соответствии с Федеральным законом РФ № 38 от 13.03.2006 «О рекламе публикацию рекламы и объявлений в газете </w:t>
      </w:r>
      <w:r>
        <w:rPr>
          <w:color w:val="000000" w:themeColor="text1"/>
        </w:rPr>
        <w:t xml:space="preserve">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деятельность в области фотографии;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ческой и экономической жизни;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000000" w:themeColor="text1"/>
        </w:rPr>
        <w:t xml:space="preserve">ж</w:t>
      </w:r>
      <w:r>
        <w:rPr>
          <w:color w:val="000000" w:themeColor="text1"/>
        </w:rPr>
        <w:t xml:space="preserve">данам и юридическим лицам в сфере массовой информации;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полиграфическую деятельность;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ждения;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копирование и распространение записанных носителей информации;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иную деятельность, не противоречащую целям Учреждения.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составления сметы расходов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 xml:space="preserve">по средствам областного бюджета, лимиты бюджетных обязательств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Финансирование ОГБУ «Редакция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 в  2020</w:t>
      </w:r>
      <w:r>
        <w:rPr>
          <w:color w:val="000000" w:themeColor="text1"/>
        </w:rPr>
        <w:t xml:space="preserve"> году осуществлялось на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ного задания, а также по предпринимательской деятельности.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Аналитика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Доходы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Расходы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ТС 100103 (Субсидия на выполнение государственного задания)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2 055 904,00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2 055 904,00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788,92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1 505 167,87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1 488 743,79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454 560,63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436 136,27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1 524,42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70 000,00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69 877,85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25 440,00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25 435,79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Итого по ТС 100103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2 056 692,92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2 055 904,00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2 056 692,92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2 020 193,70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ТС 100203 (Предпринимательская деятельность)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1 319 000,00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1 340 490,20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-9 000,00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440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860 000,00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758 479,20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87 343,32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293 095,65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283 164,64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1 000,00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88 352,46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85 939,88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3 000,00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2 413,59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3 094,19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90 859,11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76 769,75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115 344,52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114 407,42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441 103,60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415 437,02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87 420,60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82 374,90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838 828,69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838 322,91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118,90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38 754,08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32 408,00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256 371,52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176 979,15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Итого по ТС 100203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2 257 343,32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2 098 969,40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2 257 343,32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2 108 217,26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842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spacing w:lineRule="auto" w:line="276"/>
        <w:shd w:val="clear" w:fill="FFFFFF" w:color="FFFFFF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 xml:space="preserve">Учетная политика Учреждения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shd w:val="clear" w:fill="FFFFFF" w:color="FFFFFF"/>
        <w:rPr>
          <w:color w:val="000000" w:themeColor="text1"/>
        </w:rPr>
      </w:pPr>
      <w:r>
        <w:rPr>
          <w:color w:val="000000" w:themeColor="text1"/>
        </w:rPr>
        <w:t xml:space="preserve">В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000000" w:themeColor="text1"/>
        </w:rPr>
        <w:t xml:space="preserve">ч</w:t>
      </w:r>
      <w:r>
        <w:rPr>
          <w:color w:val="000000" w:themeColor="text1"/>
        </w:rPr>
        <w:t xml:space="preserve">режден</w:t>
      </w:r>
      <w:r>
        <w:rPr>
          <w:color w:val="000000" w:themeColor="text1"/>
        </w:rPr>
        <w:t xml:space="preserve">ия</w:t>
      </w:r>
      <w:r>
        <w:rPr>
          <w:i/>
          <w:color w:val="000000" w:themeColor="text1"/>
        </w:rPr>
        <w:t xml:space="preserve">»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не утверждены</w:t>
      </w:r>
      <w:r>
        <w:rPr>
          <w:color w:val="000000" w:themeColor="text1"/>
        </w:rPr>
        <w:t xml:space="preserve"> в Приказе редакции от 31.12.2019</w:t>
      </w:r>
      <w:r>
        <w:rPr>
          <w:color w:val="000000" w:themeColor="text1"/>
        </w:rPr>
        <w:t xml:space="preserve"> № 28</w:t>
      </w:r>
      <w:r>
        <w:rPr>
          <w:color w:val="000000" w:themeColor="text1"/>
        </w:rPr>
        <w:t xml:space="preserve"> «Об утверждении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литики для целей бухгалтерского учета»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shd w:val="clear" w:fill="FFFFFF" w:color="FFFFFF"/>
        <w:rPr>
          <w:color w:val="000000" w:themeColor="text1"/>
        </w:rPr>
      </w:pPr>
      <w:r>
        <w:rPr>
          <w:color w:val="000000" w:themeColor="text1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тываемого на забалансовых счетах;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shd w:val="clear" w:fill="FFFFFF" w:color="FFFFFF"/>
        <w:rPr>
          <w:iCs/>
          <w:color w:val="000000" w:themeColor="text1"/>
        </w:rPr>
      </w:pPr>
      <w:r>
        <w:rPr>
          <w:color w:val="000000" w:themeColor="text1"/>
        </w:rPr>
        <w:t xml:space="preserve">- методы оценки отдельных видов имущества (имущество на забалансовых счетах);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shd w:val="clear" w:fill="FFFFFF" w:color="FFFFFF"/>
        <w:rPr>
          <w:color w:val="000000" w:themeColor="text1"/>
        </w:rPr>
      </w:pPr>
      <w:r>
        <w:rPr>
          <w:iCs/>
          <w:color w:val="000000" w:themeColor="text1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000000" w:themeColor="text1"/>
        </w:rPr>
        <w:t xml:space="preserve">а</w:t>
      </w:r>
      <w:r>
        <w:rPr>
          <w:iCs/>
          <w:color w:val="000000" w:themeColor="text1"/>
        </w:rPr>
        <w:t xml:space="preserve">тежи на обязательное социальное страхование сотрудника (служащего) учреждения.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shd w:val="clear" w:fill="FFFFFF" w:color="FFFFFF"/>
        <w:rPr>
          <w:b/>
          <w:i/>
          <w:color w:val="000000" w:themeColor="text1"/>
        </w:rPr>
      </w:pPr>
      <w:r>
        <w:rPr>
          <w:color w:val="000000" w:themeColor="text1"/>
        </w:rPr>
        <w:t xml:space="preserve">Следует отметить, что в связи с  принятием с 01.01.2018 года федеральных стандартов бу</w:t>
      </w:r>
      <w:r>
        <w:rPr>
          <w:color w:val="000000" w:themeColor="text1"/>
        </w:rPr>
        <w:t xml:space="preserve">х</w:t>
      </w:r>
      <w:r>
        <w:rPr>
          <w:color w:val="000000" w:themeColor="text1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708"/>
        <w:jc w:val="both"/>
        <w:rPr>
          <w:b/>
          <w:i/>
          <w:color w:val="000000" w:themeColor="text1"/>
          <w:highlight w:val="none"/>
        </w:rPr>
      </w:pPr>
      <w:r>
        <w:rPr>
          <w:b/>
          <w:i/>
          <w:color w:val="000000" w:themeColor="text1"/>
        </w:rPr>
        <w:t xml:space="preserve">Рекомендуем внести соответствующие изменения.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708"/>
        <w:jc w:val="both"/>
        <w:rPr>
          <w:color w:val="000000" w:themeColor="text1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 xml:space="preserve">Проверка правильности ведения кассовых операций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Учет кассовых операций регламентируется: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Федеральным законом  от 06.12.2011 № 402- ФЗ «О бухгалтерском учете»;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numPr>
          <w:ilvl w:val="0"/>
          <w:numId w:val="1"/>
        </w:numPr>
        <w:ind w:left="0"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кассовых операций проведена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000000" w:themeColor="text1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Лимит кассы утвержден приказом №</w:t>
      </w:r>
      <w:r>
        <w:rPr>
          <w:color w:val="000000" w:themeColor="text1"/>
        </w:rPr>
        <w:t xml:space="preserve"> 2 от 09.01.2020</w:t>
      </w:r>
      <w:r>
        <w:rPr>
          <w:color w:val="000000" w:themeColor="text1"/>
        </w:rPr>
        <w:t xml:space="preserve">г., установлен в сум</w:t>
      </w:r>
      <w:r>
        <w:rPr>
          <w:color w:val="000000" w:themeColor="text1"/>
        </w:rPr>
        <w:t xml:space="preserve">ме 6 364</w:t>
      </w:r>
      <w:r>
        <w:rPr>
          <w:color w:val="000000" w:themeColor="text1"/>
        </w:rPr>
        <w:t xml:space="preserve">,00 (шесть тысяч триста шестьдесят четыре</w:t>
      </w:r>
      <w:r>
        <w:rPr>
          <w:color w:val="000000" w:themeColor="text1"/>
        </w:rPr>
        <w:t xml:space="preserve">) рубля</w:t>
      </w:r>
      <w:r>
        <w:rPr>
          <w:color w:val="000000" w:themeColor="text1"/>
        </w:rPr>
        <w:t xml:space="preserve"> и в течение проверяемого периода не наруш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л</w:t>
      </w:r>
      <w:r>
        <w:rPr>
          <w:color w:val="000000" w:themeColor="text1"/>
        </w:rPr>
        <w:t xml:space="preserve">ся.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</w:t>
      </w:r>
      <w:r>
        <w:rPr>
          <w:color w:val="000000" w:themeColor="text1"/>
        </w:rPr>
        <w:t xml:space="preserve">ерки установлено </w:t>
      </w:r>
      <w:r>
        <w:rPr>
          <w:color w:val="000000" w:themeColor="text1"/>
        </w:rPr>
        <w:t xml:space="preserve">нарушение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в вышеуказанной графе заполнено «население»,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-ПКО № 346 от 03.11.2020</w:t>
      </w:r>
      <w:r>
        <w:rPr>
          <w:color w:val="000000" w:themeColor="text1"/>
        </w:rPr>
        <w:t xml:space="preserve"> на сумму 160</w:t>
      </w:r>
      <w:r>
        <w:rPr>
          <w:color w:val="000000" w:themeColor="text1"/>
        </w:rPr>
        <w:t xml:space="preserve"> руб. (Д-т 20</w:t>
      </w:r>
      <w:r>
        <w:rPr>
          <w:color w:val="000000" w:themeColor="text1"/>
        </w:rPr>
        <w:t xml:space="preserve">1.34</w:t>
      </w:r>
      <w:r>
        <w:rPr>
          <w:color w:val="000000" w:themeColor="text1"/>
        </w:rPr>
        <w:t xml:space="preserve"> К-т 205.31);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-ПКО № 357</w:t>
      </w:r>
      <w:r>
        <w:rPr>
          <w:color w:val="000000" w:themeColor="text1"/>
        </w:rPr>
        <w:t xml:space="preserve"> от 05.11.2020</w:t>
      </w:r>
      <w:r>
        <w:rPr>
          <w:color w:val="000000" w:themeColor="text1"/>
        </w:rPr>
        <w:t xml:space="preserve"> на сумму 7080</w:t>
      </w:r>
      <w:r>
        <w:rPr>
          <w:color w:val="000000" w:themeColor="text1"/>
        </w:rPr>
        <w:t xml:space="preserve"> руб. (Д-т 201.34 К-т 205.31);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-ПКО № 362 от 09.11.2020 на сумму 1484 руб. (Д-т 201.34 К-т 205.31);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b/>
          <w:i/>
          <w:color w:val="000000" w:themeColor="text1"/>
        </w:rPr>
        <w:t xml:space="preserve">с</w:t>
      </w:r>
      <w:r>
        <w:rPr>
          <w:b/>
          <w:i/>
          <w:color w:val="000000" w:themeColor="text1"/>
        </w:rPr>
        <w:t xml:space="preserve">печивает прозрачность бухгалтерского учета в части учета доходов учреждения.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прием наличных денежных средств от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операций движения денежных средств по лицевым счетам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проведена 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крыты  счета: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п/п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лицевого счета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Департамент финансов Костромской области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827030084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842"/>
        <w:ind w:firstLine="540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учета расчетов с подотчетными лицами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четными лицами».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расчетов с подотчетными лицами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выявлены: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>
        <w:rPr>
          <w:color w:val="000000" w:themeColor="text1"/>
        </w:rPr>
        <w:t xml:space="preserve">факты расхождения дат в приказах при направлении сотрудников учреждения в командиро</w:t>
      </w: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ку и оправдательных приложенных документов,</w:t>
      </w:r>
      <w:r>
        <w:rPr>
          <w:color w:val="000000" w:themeColor="text1"/>
        </w:rPr>
        <w:t xml:space="preserve">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3" w:tooltip="http://21.03.2020" w:history="1">
        <w:r>
          <w:rPr>
            <w:rStyle w:val="906"/>
            <w:color w:val="000000" w:themeColor="text1"/>
          </w:rPr>
          <w:t xml:space="preserve">21.03.2020</w:t>
        </w:r>
      </w:hyperlink>
      <w:r>
        <w:rPr>
          <w:color w:val="000000" w:themeColor="text1"/>
        </w:rPr>
        <w:t xml:space="preserve"> № 25 Виноградова М.В. на сумму 1294 руб. (маршрут следования по приложенным проездным билетам: г.Нея -г.Кострома - г. Нея);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4" w:tooltip="http://21.03.2020" w:history="1">
        <w:r>
          <w:rPr>
            <w:rStyle w:val="906"/>
            <w:color w:val="000000" w:themeColor="text1"/>
            <w:lang w:val="ru-RU"/>
          </w:rPr>
          <w:t xml:space="preserve">13.02</w:t>
        </w:r>
        <w:r>
          <w:rPr>
            <w:rStyle w:val="906"/>
            <w:color w:val="000000" w:themeColor="text1"/>
          </w:rPr>
          <w:t xml:space="preserve">.2020</w:t>
        </w:r>
      </w:hyperlink>
      <w:r>
        <w:rPr>
          <w:color w:val="000000" w:themeColor="text1"/>
        </w:rPr>
        <w:t xml:space="preserve"> № 12 Виноградова М.В. на сумму 1266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5" w:tooltip="http://21.03.2020" w:history="1">
        <w:r>
          <w:rPr>
            <w:rStyle w:val="906"/>
            <w:color w:val="000000" w:themeColor="text1"/>
            <w:lang w:val="ru-RU"/>
          </w:rPr>
          <w:t xml:space="preserve">14.08</w:t>
        </w:r>
        <w:r>
          <w:rPr>
            <w:rStyle w:val="906"/>
            <w:color w:val="000000" w:themeColor="text1"/>
          </w:rPr>
          <w:t xml:space="preserve">.2020</w:t>
        </w:r>
      </w:hyperlink>
      <w:r>
        <w:rPr>
          <w:color w:val="000000" w:themeColor="text1"/>
        </w:rPr>
        <w:t xml:space="preserve"> № 63 Виноградова М.В. на сумму 3682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92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Согласно ст. 166 ТК РФ и абз.2 п.3 Положе</w:t>
      </w:r>
      <w:r>
        <w:rPr>
          <w:color w:val="000000" w:themeColor="text1"/>
        </w:rPr>
        <w:t xml:space="preserve">ния о служебных командировках для того, чтобы направить работника в служебную командировку, необходимо распоряжение работодателя в письменной форме (например, приказ о направлении работника в командировку). При этом необходимо использовать унифицированную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"consultantplus://offline/ref=261B76A31C1EACB0D8EBF7962CC068826D93482417E7A127E0857C09326B4C0058B3091066B52Ai8rBL"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форму N Т-9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утвержденную Постановлением Госкомстата России от 05.01.2004 № 1, или документ, самостоятельно разработанный работодателем. Согласно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"consultantplus://offline/ref=477329E28082A467C56AB895541CCCF1C1EAFC912346F2268FF7D7B3F8D25C50D5FD1EC244975509m0wDL"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абз. 3 п. 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"consultantplus://offline/ref=477329E28082A467C56AB895541CCCF1C1EAFC912346F2268FF7D7B3F8D25C50D5FD1EC24497550Cm0wEL"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п. 25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Положения о служебных командировках,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"consultantplus://offline/ref=477329E28082A467C56AA5814674F6F79EEFFE942942FE73D8F586E6F6D754009DED50874996550A0F5BmAw8L"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письмо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Минтруда России от 05.09.2013 N 14-2/3044898-4415 работодатель обязан выплатить работнику суточные за каждый день пребывания в командировке, включ</w:t>
      </w:r>
      <w:r>
        <w:rPr>
          <w:color w:val="000000" w:themeColor="text1"/>
        </w:rPr>
        <w:t xml:space="preserve">ая выходные и нерабочие праздничные дни, а также дни, проведенные в пути, в том числе время вынужденной остановки, а также за период нетрудоспособности, наступившей в командировке. Для расчета суточных необходимо определить продолжительность командировки.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2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Размер суточных может быть любым, но должен быть определен в коллективном договоре или</w:t>
      </w:r>
      <w:r>
        <w:rPr>
          <w:color w:val="000000" w:themeColor="text1"/>
        </w:rPr>
        <w:t xml:space="preserve"> локальном нормативном акте, если иное не установлено Трудовым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"consultantplus://offline/ref=B80F892614C6FAF3950980FE2A1D7E1D1CE75CB2B03CFE4EED24779507O30EL"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кодексом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РФ, другими федеральными законами, иными нормативными правовыми актами РФ (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"consultantplus://offline/ref=B80F892614C6FAF3950980FE2A1D7E1D1CE75CB2B03CFE4EED247795073E9FEDBEBEBA503CE6063AO20CL"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ч. 4 ст. 168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ТК РФ,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"consultantplus://offline/ref=B80F892614C6FAF3950980FE2A1D7E1D1CE65EB3B13EFE4EED247795073E9FEDBEBEBA503CE40330O20CL"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абз. 2 п. 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"consultantplus://offline/ref=B80F892614C6FAF3950980FE2A1D7E1D1CE65EB3B13EFE4EED247795073E9FEDBEBEBA503CE40337O20FL"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абз. 2 п. 16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Положения о служебных командировках). Следует учитывать, что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"consultantplus://offline/ref=B80F892614C6FAF3950980FE2A1D7E1D1CE759B3B733FE4EED247795073E9FEDBEBEBA5239E2O00BL"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</w:rPr>
        <w:t xml:space="preserve">абз. 12 п. 3 ст. 217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НК РФ предусмотрены предельные размеры суточных, которые не облагаются НДФЛ. Они составляют: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2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не более 700 руб. за каждый день нахождения в командировке на территории РФ;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2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не более 2500 руб. за каждый день нахождения в заграничной командировке.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b/>
          <w:i/>
          <w:color w:val="000000" w:themeColor="text1"/>
        </w:rPr>
        <w:t xml:space="preserve">Рекомендуем </w:t>
      </w:r>
      <w:r>
        <w:rPr>
          <w:b/>
          <w:i/>
          <w:color w:val="000000" w:themeColor="text1"/>
        </w:rPr>
        <w:t xml:space="preserve">оформлять приказы при направлении сотрудников учреждения в командировку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>
        <w:rPr>
          <w:color w:val="000000" w:themeColor="text1"/>
        </w:rPr>
        <w:t xml:space="preserve">факты отсутствия начисления суточных при направлении сотрудников в служебную командировку</w:t>
      </w:r>
      <w:r>
        <w:rPr>
          <w:color w:val="000000" w:themeColor="text1"/>
        </w:rPr>
        <w:t xml:space="preserve">,</w:t>
      </w:r>
      <w:r>
        <w:rPr>
          <w:color w:val="000000" w:themeColor="text1"/>
        </w:rPr>
        <w:t xml:space="preserve">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6" w:tooltip="http://21.03.2020" w:history="1">
        <w:r>
          <w:rPr>
            <w:rStyle w:val="906"/>
            <w:color w:val="000000" w:themeColor="text1"/>
          </w:rPr>
          <w:t xml:space="preserve">21.03.2020</w:t>
        </w:r>
      </w:hyperlink>
      <w:r>
        <w:rPr>
          <w:color w:val="000000" w:themeColor="text1"/>
        </w:rPr>
        <w:t xml:space="preserve"> № 25 Виноградова М.В. на сумму 1294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7" w:tooltip="http://21.03.2020" w:history="1">
        <w:r>
          <w:rPr>
            <w:rStyle w:val="906"/>
            <w:color w:val="000000" w:themeColor="text1"/>
            <w:lang w:val="ru-RU"/>
          </w:rPr>
          <w:t xml:space="preserve">13.02</w:t>
        </w:r>
        <w:r>
          <w:rPr>
            <w:rStyle w:val="906"/>
            <w:color w:val="000000" w:themeColor="text1"/>
          </w:rPr>
          <w:t xml:space="preserve">.2020</w:t>
        </w:r>
      </w:hyperlink>
      <w:r>
        <w:rPr>
          <w:color w:val="000000" w:themeColor="text1"/>
        </w:rPr>
        <w:t xml:space="preserve"> № 12 Виноградова М.В. на сумму 1266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8" w:tooltip="http://21.03.2020" w:history="1">
        <w:r>
          <w:rPr>
            <w:rStyle w:val="906"/>
            <w:color w:val="000000" w:themeColor="text1"/>
            <w:lang w:val="ru-RU"/>
          </w:rPr>
          <w:t xml:space="preserve">14.08</w:t>
        </w:r>
        <w:r>
          <w:rPr>
            <w:rStyle w:val="906"/>
            <w:color w:val="000000" w:themeColor="text1"/>
          </w:rPr>
          <w:t xml:space="preserve">.2020</w:t>
        </w:r>
      </w:hyperlink>
      <w:r>
        <w:rPr>
          <w:color w:val="000000" w:themeColor="text1"/>
        </w:rPr>
        <w:t xml:space="preserve"> № 63 Виноградова М.В. на сумму 3682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b/>
          <w:i/>
          <w:color w:val="000000" w:themeColor="text1"/>
        </w:rPr>
        <w:t xml:space="preserve">Рекомендуем начислять суточные </w:t>
      </w:r>
      <w:r>
        <w:rPr>
          <w:b/>
          <w:i/>
          <w:color w:val="000000" w:themeColor="text1"/>
        </w:rPr>
        <w:t xml:space="preserve">командированным сотрудникам учреждения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отражения операций с поставщиками и подрядчиками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В ходе проверки выявлено: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1"/>
        <w:ind w:left="0" w:right="0"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 Все хозяйственные операции, проводимые организацией, должны быть оформлены документально. Эти документы служат первичными учетными документами, должны быт</w:t>
      </w:r>
      <w:r>
        <w:rPr>
          <w:color w:val="000000" w:themeColor="text1"/>
        </w:rPr>
        <w:t xml:space="preserve">ь полностью оформлены, на основании которых ведется бухгалтерский учет. За  проверяемый период необоснованно принимались на расходы (на себестоимость) материальные запасы и оказанные услуги поставщиками учреждению (без оправдательных документов),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23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97"/>
      </w:tblGrid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услуги,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документ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№ и дата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Контрагент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Нарушение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работы по обслуживанию информационного ресурса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акт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346 от 30.12.2020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работы по обслуживанию информационного ресурса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акт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 от 27.11.2020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3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931"/>
        <w:ind w:left="0" w:right="0" w:firstLine="540"/>
        <w:rPr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2. нарушение п. 4 ст. 709 Гражданского кодекса РФ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Согласно положениям ст. 424 Гражданского кодекса РФ стороны правомочны согласовать цену, по которой в дальнейшем будет оплачено исполнение договора.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При этом цена может быть зафиксирована различными способами, самыми распростране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из которых являются: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 xml:space="preserve">твердая цена, т. е. установленная в определенном размере, в общем случае не подл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жащем изменению;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 xml:space="preserve">приблизительная цена, т. е. цена, окончательный расчет которой будет произведен по факту исполнения договора.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этом стороны на основании норм ст. 450 ГК РФ правомочны изменить по взаимному с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глашению или в судебном порядке всякое условие договора, в т. ч. и установленную в твердой форме цену договора.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договорах Учреждения с поставщиками, подрядчиками отсутствуют формулировки пол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жений, закрепляющих определенный способ фиксации цены работ,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с</w:t>
      </w:r>
      <w:r>
        <w:rPr>
          <w:color w:val="000000" w:themeColor="text1"/>
        </w:rPr>
        <w:t xml:space="preserve"> ООО «Гелиос-С»;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заключать договоры в соответствии с Гражданским Кодексом Российской Федерации.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отражения расчетов с дебиторами по доходам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Проверка расчетов с дебиторами по доходам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выявлено нарушение ст.9 Федерального закона "О бухгалтерском учете" от 06.12.2011 N 402-ФЗ,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Наименов</w:t>
            </w:r>
            <w:r>
              <w:rPr>
                <w:color w:val="000000" w:themeColor="text1"/>
                <w:sz w:val="24"/>
              </w:rPr>
              <w:t xml:space="preserve">а</w:t>
            </w:r>
            <w:r>
              <w:rPr>
                <w:color w:val="000000" w:themeColor="text1"/>
                <w:sz w:val="24"/>
              </w:rPr>
              <w:t xml:space="preserve">ние услуги,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док</w:t>
            </w:r>
            <w:r>
              <w:rPr>
                <w:color w:val="000000" w:themeColor="text1"/>
                <w:sz w:val="24"/>
              </w:rPr>
              <w:t xml:space="preserve">у</w:t>
            </w:r>
            <w:r>
              <w:rPr>
                <w:color w:val="000000" w:themeColor="text1"/>
                <w:sz w:val="24"/>
              </w:rPr>
              <w:t xml:space="preserve">мент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и дата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Контрагент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Нарушение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340 от 02.07.2020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ОГБУЗ «Нейская РБ»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450,00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341 от 02.07.2020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население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2 250,00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354 от 11.07.2020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МОУ СОШ №1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200,00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357 от 11.07.2020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«МКК ФинансОператив»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300,00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365 от 18.07.2020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«Неялес»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366 от 18.07.2020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«Неялес»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900,00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378 от 25.07.2020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«Этажи Кострома»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3 060,00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№385 от 30.07.2020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СПК колхоз «Родина»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№1 от 09.01.2020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ПАО «МРСК Центра»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500,00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8 от 14.01.2020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«Санрайз Продакшн»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3000,00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66 от 08.02.2020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«Сфера»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480,00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842"/>
        <w:ind w:firstLine="540"/>
        <w:rPr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ab/>
        <w:t xml:space="preserve">Проверка правильности расчетов по оплате труда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  <w:t xml:space="preserve">  Учет расчетов по заработной плате ведется на счете 302.01 «Расчеты по заработной пл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те», операции отражаются в журнале – операций № 6 «Расчеты по оплате труда».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Расчеты по оплате труда  автоматизированы.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Сроки выплаты заработной платы установлены 10 и 25 числа каждого месяца.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нарушений на данном участке учета выявлены </w:t>
      </w:r>
      <w:r>
        <w:rPr>
          <w:color w:val="000000" w:themeColor="text1"/>
        </w:rPr>
        <w:t xml:space="preserve">факты расхождения дат в табелях рабочего</w:t>
      </w:r>
      <w:r>
        <w:rPr>
          <w:color w:val="000000" w:themeColor="text1"/>
        </w:rPr>
        <w:t xml:space="preserve"> времени</w:t>
      </w:r>
      <w:r>
        <w:rPr>
          <w:color w:val="000000" w:themeColor="text1"/>
        </w:rPr>
        <w:t xml:space="preserve"> и оправдательных приложенных документов,</w:t>
      </w:r>
      <w:r>
        <w:rPr>
          <w:color w:val="000000" w:themeColor="text1"/>
        </w:rPr>
        <w:t xml:space="preserve">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19" w:tooltip="http://21.03.2020" w:history="1">
        <w:r>
          <w:rPr>
            <w:rStyle w:val="906"/>
            <w:color w:val="000000" w:themeColor="text1"/>
          </w:rPr>
          <w:t xml:space="preserve">21.03.2020</w:t>
        </w:r>
      </w:hyperlink>
      <w:r>
        <w:rPr>
          <w:color w:val="000000" w:themeColor="text1"/>
        </w:rPr>
        <w:t xml:space="preserve"> № 25 Виноградова М.В. на сумму 1294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20" w:tooltip="http://21.03.2020" w:history="1">
        <w:r>
          <w:rPr>
            <w:rStyle w:val="906"/>
            <w:color w:val="000000" w:themeColor="text1"/>
            <w:lang w:val="ru-RU"/>
          </w:rPr>
          <w:t xml:space="preserve">13.02</w:t>
        </w:r>
        <w:r>
          <w:rPr>
            <w:rStyle w:val="906"/>
            <w:color w:val="000000" w:themeColor="text1"/>
          </w:rPr>
          <w:t xml:space="preserve">.2020</w:t>
        </w:r>
      </w:hyperlink>
      <w:r>
        <w:rPr>
          <w:color w:val="000000" w:themeColor="text1"/>
        </w:rPr>
        <w:t xml:space="preserve"> № 12 Виноградова М.В. на сумму 1266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 авансовый отчет от </w:t>
      </w:r>
      <w:hyperlink r:id="rId21" w:tooltip="http://21.03.2020" w:history="1">
        <w:r>
          <w:rPr>
            <w:rStyle w:val="906"/>
            <w:color w:val="000000" w:themeColor="text1"/>
            <w:lang w:val="ru-RU"/>
          </w:rPr>
          <w:t xml:space="preserve">14.08</w:t>
        </w:r>
        <w:r>
          <w:rPr>
            <w:rStyle w:val="906"/>
            <w:color w:val="000000" w:themeColor="text1"/>
          </w:rPr>
          <w:t xml:space="preserve">.2020</w:t>
        </w:r>
      </w:hyperlink>
      <w:r>
        <w:rPr>
          <w:color w:val="000000" w:themeColor="text1"/>
        </w:rPr>
        <w:t xml:space="preserve"> № 63 Виноградова М.В. на сумму 3682 руб. (маршрут следования по приложенным проездным билетам: г.Нея -г.Кострома - г. Нея);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b/>
          <w:i/>
          <w:color w:val="000000" w:themeColor="text1"/>
        </w:rPr>
        <w:t xml:space="preserve">Рекомендуем привести в соответствие табели учета рабочего времени с данными авансовых отчетов сотрудников учреждения.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отражения операций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 xml:space="preserve">по выбытию и перемещению нефинансовых активов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финансовых активов».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проверки представлены: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1.Журнал – операций № 7 «Выбытие и перемещение нефинансовых активов»;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2.Ведомости выдачи материальных запасов на нужды учреждения;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3. Путевые листы;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4. Акты на </w:t>
      </w:r>
      <w:r>
        <w:rPr>
          <w:color w:val="000000" w:themeColor="text1"/>
        </w:rPr>
        <w:t xml:space="preserve">списание материальных ценностей.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left="1249" w:firstLine="0"/>
        <w:jc w:val="both"/>
        <w:rPr>
          <w:b w:val="false"/>
          <w:i w:val="false"/>
          <w:color w:val="000000" w:themeColor="text1"/>
        </w:rPr>
      </w:pPr>
      <w:r>
        <w:rPr>
          <w:b w:val="false"/>
          <w:i w:val="false"/>
          <w:color w:val="000000" w:themeColor="text1"/>
          <w:highlight w:val="none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  <w:highlight w:val="none"/>
        </w:rPr>
      </w:pPr>
      <w:r>
        <w:rPr>
          <w:b/>
          <w:color w:val="000000" w:themeColor="text1"/>
        </w:rPr>
        <w:t xml:space="preserve">Заключительная часть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  <w:highlight w:val="none"/>
        </w:rPr>
      </w: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за 2020</w:t>
      </w:r>
      <w:r>
        <w:rPr>
          <w:color w:val="000000" w:themeColor="text1"/>
        </w:rPr>
        <w:t xml:space="preserve"> год выявлен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1.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  <w:u w:val="none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06"/>
          <w:color w:val="000000" w:themeColor="text1"/>
          <w:u w:val="none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2. нар</w:t>
      </w:r>
      <w:r>
        <w:rPr>
          <w:color w:val="000000" w:themeColor="text1"/>
        </w:rPr>
        <w:t xml:space="preserve">ушения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в вышеуказанной графе заполнено «население»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3. </w:t>
      </w:r>
      <w:r>
        <w:rPr>
          <w:color w:val="000000" w:themeColor="text1"/>
        </w:rPr>
        <w:t xml:space="preserve">нарушение п. 4 ст. 709 Гражданского кодекса РФ в части </w:t>
      </w:r>
      <w:r>
        <w:rPr>
          <w:color w:val="000000" w:themeColor="text1"/>
        </w:rPr>
        <w:t xml:space="preserve">отсутствия пол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жений, закрепляющих определенный способ фиксации цены работ в договорах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4.</w:t>
      </w:r>
      <w:r>
        <w:rPr>
          <w:color w:val="000000" w:themeColor="text1"/>
        </w:rPr>
        <w:t xml:space="preserve"> факты расхождения дат в приказах при направлении сотрудников учреждения в командиро</w:t>
      </w: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ку, авансовых отчетов и приложенным к ним оправдательных документов;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  <w:highlight w:val="none"/>
        </w:rPr>
        <w:t xml:space="preserve">5. </w:t>
      </w:r>
      <w:r>
        <w:rPr>
          <w:color w:val="000000" w:themeColor="text1"/>
        </w:rPr>
        <w:t xml:space="preserve">факты отсутствия начисления суточных при направлении сотрудников в служебную командировку;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6.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</w:t>
      </w:r>
      <w:r>
        <w:rPr>
          <w:color w:val="000000" w:themeColor="text1"/>
        </w:rPr>
        <w:t xml:space="preserve">дебиторами по дох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дам и с поставщиками;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b w:val="false"/>
          <w:i w:val="false"/>
          <w:color w:val="000000" w:themeColor="text1"/>
          <w:highlight w:val="none"/>
        </w:rPr>
      </w:pPr>
      <w:r>
        <w:rPr>
          <w:b w:val="false"/>
          <w:i w:val="false"/>
          <w:color w:val="000000" w:themeColor="text1"/>
          <w:highlight w:val="none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000000" w:themeColor="text1"/>
        </w:rPr>
        <w:t xml:space="preserve">учета восстановить бухгалте</w:t>
      </w:r>
      <w:r>
        <w:rPr>
          <w:color w:val="000000" w:themeColor="text1"/>
        </w:rPr>
        <w:t xml:space="preserve">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стромской области до </w:t>
      </w:r>
      <w:r>
        <w:rPr>
          <w:color w:val="000000" w:themeColor="text1"/>
        </w:rPr>
        <w:t xml:space="preserve">01 июля 2021</w:t>
      </w:r>
      <w:r>
        <w:rPr>
          <w:color w:val="000000" w:themeColor="text1"/>
        </w:rPr>
        <w:t xml:space="preserve"> года.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Директор департамента информационной                </w:t>
      </w:r>
      <w:r>
        <w:rPr>
          <w:color w:val="000000" w:themeColor="text1"/>
        </w:rPr>
        <w:t xml:space="preserve"> Главный р</w:t>
      </w:r>
      <w:r>
        <w:rPr>
          <w:color w:val="000000" w:themeColor="text1"/>
        </w:rPr>
        <w:t xml:space="preserve">едактор ОГБУ «Редакция газеты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политики, анализа и развития коммуникационных 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ресурсов Костромской области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И.В. Жабко                                                                      М.В. Виноградов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                                                         __________________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экономики и финансов                                                 «</w:t>
      </w:r>
      <w:r>
        <w:rPr>
          <w:color w:val="000000" w:themeColor="text1"/>
        </w:rPr>
        <w:t xml:space="preserve">Нейские вести</w:t>
      </w:r>
      <w:r>
        <w:rPr>
          <w:color w:val="000000" w:themeColor="text1"/>
        </w:rPr>
        <w:t xml:space="preserve">»      </w:t>
      </w:r>
      <w:r>
        <w:rPr>
          <w:color w:val="000000" w:themeColor="text1"/>
        </w:rPr>
        <w:t xml:space="preserve">     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- гл</w:t>
      </w:r>
      <w:r>
        <w:rPr>
          <w:color w:val="000000" w:themeColor="text1"/>
        </w:rPr>
        <w:t xml:space="preserve">авный бухгалтер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Н.Н. Попрядухина                                                         Н.Л. Синельникова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                                                        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Консультант сектора экономики и финансов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С.В. Колчанова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2"/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42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842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842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842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842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842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842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842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842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4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4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4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4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4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4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4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4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4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4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4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4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4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4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4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4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4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4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4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4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4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4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4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4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4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4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4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842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842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84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842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842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842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842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84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842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42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42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4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4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42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4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4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42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4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4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4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4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4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4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4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4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4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4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table of figures"/>
    <w:basedOn w:val="929"/>
    <w:next w:val="929"/>
    <w:uiPriority w:val="99"/>
    <w:unhideWhenUsed/>
    <w:pPr>
      <w:spacing w:after="0" w:afterAutospacing="0"/>
    </w:pPr>
  </w:style>
  <w:style w:type="paragraph" w:styleId="665">
    <w:name w:val="Heading 1"/>
    <w:link w:val="66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6">
    <w:name w:val="Heading 1 Char"/>
    <w:link w:val="665"/>
    <w:uiPriority w:val="9"/>
    <w:rPr>
      <w:rFonts w:ascii="Arial" w:hAnsi="Arial" w:cs="Arial" w:eastAsia="Arial"/>
      <w:sz w:val="40"/>
      <w:szCs w:val="40"/>
    </w:rPr>
  </w:style>
  <w:style w:type="paragraph" w:styleId="667">
    <w:name w:val="Heading 2"/>
    <w:link w:val="66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8">
    <w:name w:val="Heading 2 Char"/>
    <w:link w:val="667"/>
    <w:uiPriority w:val="9"/>
    <w:rPr>
      <w:rFonts w:ascii="Arial" w:hAnsi="Arial" w:cs="Arial" w:eastAsia="Arial"/>
      <w:sz w:val="34"/>
    </w:rPr>
  </w:style>
  <w:style w:type="paragraph" w:styleId="669">
    <w:name w:val="Heading 3"/>
    <w:link w:val="67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0">
    <w:name w:val="Heading 3 Char"/>
    <w:link w:val="669"/>
    <w:uiPriority w:val="9"/>
    <w:rPr>
      <w:rFonts w:ascii="Arial" w:hAnsi="Arial" w:cs="Arial" w:eastAsia="Arial"/>
      <w:sz w:val="30"/>
      <w:szCs w:val="30"/>
    </w:rPr>
  </w:style>
  <w:style w:type="paragraph" w:styleId="671">
    <w:name w:val="Heading 4"/>
    <w:link w:val="67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2">
    <w:name w:val="Heading 4 Char"/>
    <w:link w:val="671"/>
    <w:uiPriority w:val="9"/>
    <w:rPr>
      <w:rFonts w:ascii="Arial" w:hAnsi="Arial" w:cs="Arial" w:eastAsia="Arial"/>
      <w:b/>
      <w:bCs/>
      <w:sz w:val="26"/>
      <w:szCs w:val="26"/>
    </w:rPr>
  </w:style>
  <w:style w:type="paragraph" w:styleId="673">
    <w:name w:val="Heading 5"/>
    <w:link w:val="67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4">
    <w:name w:val="Heading 5 Char"/>
    <w:link w:val="673"/>
    <w:uiPriority w:val="9"/>
    <w:rPr>
      <w:rFonts w:ascii="Arial" w:hAnsi="Arial" w:cs="Arial" w:eastAsia="Arial"/>
      <w:b/>
      <w:bCs/>
      <w:sz w:val="24"/>
      <w:szCs w:val="24"/>
    </w:rPr>
  </w:style>
  <w:style w:type="paragraph" w:styleId="675">
    <w:name w:val="Heading 6"/>
    <w:link w:val="67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6">
    <w:name w:val="Heading 6 Char"/>
    <w:link w:val="675"/>
    <w:uiPriority w:val="9"/>
    <w:rPr>
      <w:rFonts w:ascii="Arial" w:hAnsi="Arial" w:cs="Arial" w:eastAsia="Arial"/>
      <w:b/>
      <w:bCs/>
      <w:sz w:val="22"/>
      <w:szCs w:val="22"/>
    </w:rPr>
  </w:style>
  <w:style w:type="paragraph" w:styleId="677">
    <w:name w:val="Heading 7"/>
    <w:link w:val="67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8">
    <w:name w:val="Heading 7 Char"/>
    <w:link w:val="67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9">
    <w:name w:val="Heading 8"/>
    <w:link w:val="68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0">
    <w:name w:val="Heading 8 Char"/>
    <w:link w:val="679"/>
    <w:uiPriority w:val="9"/>
    <w:rPr>
      <w:rFonts w:ascii="Arial" w:hAnsi="Arial" w:cs="Arial" w:eastAsia="Arial"/>
      <w:i/>
      <w:iCs/>
      <w:sz w:val="22"/>
      <w:szCs w:val="22"/>
    </w:rPr>
  </w:style>
  <w:style w:type="paragraph" w:styleId="681">
    <w:name w:val="Heading 9"/>
    <w:link w:val="68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2">
    <w:name w:val="Heading 9 Char"/>
    <w:link w:val="681"/>
    <w:uiPriority w:val="9"/>
    <w:rPr>
      <w:rFonts w:ascii="Arial" w:hAnsi="Arial" w:cs="Arial" w:eastAsia="Arial"/>
      <w:i/>
      <w:iCs/>
      <w:sz w:val="21"/>
      <w:szCs w:val="21"/>
    </w:rPr>
  </w:style>
  <w:style w:type="paragraph" w:styleId="683">
    <w:name w:val="List Paragraph"/>
    <w:qFormat/>
    <w:uiPriority w:val="34"/>
    <w:pPr>
      <w:contextualSpacing w:val="true"/>
      <w:ind w:left="720"/>
    </w:pPr>
  </w:style>
  <w:style w:type="paragraph" w:styleId="684">
    <w:name w:val="No Spacing"/>
    <w:qFormat/>
    <w:uiPriority w:val="1"/>
    <w:pPr>
      <w:spacing w:lineRule="auto" w:line="240" w:after="0" w:before="0"/>
    </w:pPr>
  </w:style>
  <w:style w:type="paragraph" w:styleId="685">
    <w:name w:val="Title"/>
    <w:link w:val="68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6">
    <w:name w:val="Title Char"/>
    <w:link w:val="685"/>
    <w:uiPriority w:val="10"/>
    <w:rPr>
      <w:sz w:val="48"/>
      <w:szCs w:val="48"/>
    </w:rPr>
  </w:style>
  <w:style w:type="paragraph" w:styleId="687">
    <w:name w:val="Subtitle"/>
    <w:link w:val="688"/>
    <w:qFormat/>
    <w:uiPriority w:val="11"/>
    <w:rPr>
      <w:sz w:val="24"/>
      <w:szCs w:val="24"/>
    </w:rPr>
    <w:pPr>
      <w:spacing w:after="200" w:before="200"/>
    </w:pPr>
  </w:style>
  <w:style w:type="character" w:styleId="688">
    <w:name w:val="Subtitle Char"/>
    <w:link w:val="687"/>
    <w:uiPriority w:val="11"/>
    <w:rPr>
      <w:sz w:val="24"/>
      <w:szCs w:val="24"/>
    </w:rPr>
  </w:style>
  <w:style w:type="paragraph" w:styleId="689">
    <w:name w:val="Quote"/>
    <w:link w:val="690"/>
    <w:qFormat/>
    <w:uiPriority w:val="29"/>
    <w:rPr>
      <w:i/>
    </w:rPr>
    <w:pPr>
      <w:ind w:left="720" w:right="720"/>
    </w:p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link w:val="69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2">
    <w:name w:val="Intense Quote Char"/>
    <w:link w:val="691"/>
    <w:uiPriority w:val="30"/>
    <w:rPr>
      <w:i/>
    </w:rPr>
  </w:style>
  <w:style w:type="paragraph" w:styleId="693">
    <w:name w:val="Header"/>
    <w:link w:val="69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4">
    <w:name w:val="Header Char"/>
    <w:link w:val="693"/>
    <w:uiPriority w:val="99"/>
  </w:style>
  <w:style w:type="paragraph" w:styleId="695">
    <w:name w:val="Footer"/>
    <w:link w:val="69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6">
    <w:name w:val="Footer Char"/>
    <w:link w:val="695"/>
    <w:uiPriority w:val="99"/>
  </w:style>
  <w:style w:type="paragraph" w:styleId="697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8">
    <w:name w:val="Caption Char"/>
    <w:basedOn w:val="697"/>
    <w:link w:val="695"/>
    <w:uiPriority w:val="99"/>
  </w:style>
  <w:style w:type="table" w:styleId="699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8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9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0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1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2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3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4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35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36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37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38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39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40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41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3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4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5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6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7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8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9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1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2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3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4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5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6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7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05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06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07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08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09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10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11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12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13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14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15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16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17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18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9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0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1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2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3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4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link w:val="827"/>
    <w:uiPriority w:val="99"/>
    <w:semiHidden/>
    <w:unhideWhenUsed/>
    <w:rPr>
      <w:sz w:val="18"/>
    </w:rPr>
    <w:pPr>
      <w:spacing w:lineRule="auto" w:line="240" w:after="40"/>
    </w:p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link w:val="830"/>
    <w:uiPriority w:val="99"/>
    <w:semiHidden/>
    <w:unhideWhenUsed/>
    <w:rPr>
      <w:sz w:val="20"/>
    </w:rPr>
    <w:pPr>
      <w:spacing w:lineRule="auto" w:line="240" w:after="0"/>
    </w:p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uiPriority w:val="39"/>
    <w:unhideWhenUsed/>
    <w:pPr>
      <w:ind w:left="0" w:right="0" w:firstLine="0"/>
      <w:spacing w:after="57"/>
    </w:pPr>
  </w:style>
  <w:style w:type="paragraph" w:styleId="833">
    <w:name w:val="toc 2"/>
    <w:uiPriority w:val="39"/>
    <w:unhideWhenUsed/>
    <w:pPr>
      <w:ind w:left="283" w:right="0" w:firstLine="0"/>
      <w:spacing w:after="57"/>
    </w:pPr>
  </w:style>
  <w:style w:type="paragraph" w:styleId="834">
    <w:name w:val="toc 3"/>
    <w:uiPriority w:val="39"/>
    <w:unhideWhenUsed/>
    <w:pPr>
      <w:ind w:left="567" w:right="0" w:firstLine="0"/>
      <w:spacing w:after="57"/>
    </w:pPr>
  </w:style>
  <w:style w:type="paragraph" w:styleId="835">
    <w:name w:val="toc 4"/>
    <w:uiPriority w:val="39"/>
    <w:unhideWhenUsed/>
    <w:pPr>
      <w:ind w:left="850" w:right="0" w:firstLine="0"/>
      <w:spacing w:after="57"/>
    </w:pPr>
  </w:style>
  <w:style w:type="paragraph" w:styleId="836">
    <w:name w:val="toc 5"/>
    <w:uiPriority w:val="39"/>
    <w:unhideWhenUsed/>
    <w:pPr>
      <w:ind w:left="1134" w:right="0" w:firstLine="0"/>
      <w:spacing w:after="57"/>
    </w:pPr>
  </w:style>
  <w:style w:type="paragraph" w:styleId="837">
    <w:name w:val="toc 6"/>
    <w:uiPriority w:val="39"/>
    <w:unhideWhenUsed/>
    <w:pPr>
      <w:ind w:left="1417" w:right="0" w:firstLine="0"/>
      <w:spacing w:after="57"/>
    </w:pPr>
  </w:style>
  <w:style w:type="paragraph" w:styleId="838">
    <w:name w:val="toc 7"/>
    <w:uiPriority w:val="39"/>
    <w:unhideWhenUsed/>
    <w:pPr>
      <w:ind w:left="1701" w:right="0" w:firstLine="0"/>
      <w:spacing w:after="57"/>
    </w:pPr>
  </w:style>
  <w:style w:type="paragraph" w:styleId="839">
    <w:name w:val="toc 8"/>
    <w:uiPriority w:val="39"/>
    <w:unhideWhenUsed/>
    <w:pPr>
      <w:ind w:left="1984" w:right="0" w:firstLine="0"/>
      <w:spacing w:after="57"/>
    </w:pPr>
  </w:style>
  <w:style w:type="paragraph" w:styleId="840">
    <w:name w:val="toc 9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Обычный"/>
    <w:next w:val="842"/>
    <w:link w:val="84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843">
    <w:name w:val="Основной шрифт абзаца"/>
    <w:next w:val="843"/>
    <w:link w:val="842"/>
    <w:semiHidden/>
  </w:style>
  <w:style w:type="table" w:styleId="844">
    <w:name w:val="Обычная таблица"/>
    <w:next w:val="844"/>
    <w:link w:val="842"/>
    <w:semiHidden/>
    <w:tblPr/>
  </w:style>
  <w:style w:type="numbering" w:styleId="845">
    <w:name w:val="Нет списка"/>
    <w:next w:val="845"/>
    <w:link w:val="842"/>
    <w:semiHidden/>
  </w:style>
  <w:style w:type="character" w:styleId="846">
    <w:name w:val="WW8Num1z0"/>
    <w:next w:val="846"/>
    <w:link w:val="842"/>
    <w:rPr>
      <w:rFonts w:ascii="Symbol" w:hAnsi="Symbol"/>
      <w:color w:val="0000FF"/>
    </w:rPr>
  </w:style>
  <w:style w:type="character" w:styleId="847">
    <w:name w:val="WW8Num2z0"/>
    <w:next w:val="847"/>
    <w:link w:val="842"/>
  </w:style>
  <w:style w:type="character" w:styleId="848">
    <w:name w:val="WW8Num3z0"/>
    <w:next w:val="848"/>
    <w:link w:val="842"/>
  </w:style>
  <w:style w:type="character" w:styleId="849">
    <w:name w:val="WW8Num4z0"/>
    <w:next w:val="849"/>
    <w:link w:val="842"/>
  </w:style>
  <w:style w:type="character" w:styleId="850">
    <w:name w:val="WW8Num4z1"/>
    <w:next w:val="850"/>
    <w:link w:val="842"/>
  </w:style>
  <w:style w:type="character" w:styleId="851">
    <w:name w:val="WW8Num4z2"/>
    <w:next w:val="851"/>
    <w:link w:val="842"/>
  </w:style>
  <w:style w:type="character" w:styleId="852">
    <w:name w:val="WW8Num4z3"/>
    <w:next w:val="852"/>
    <w:link w:val="842"/>
  </w:style>
  <w:style w:type="character" w:styleId="853">
    <w:name w:val="WW8Num4z4"/>
    <w:next w:val="853"/>
    <w:link w:val="842"/>
  </w:style>
  <w:style w:type="character" w:styleId="854">
    <w:name w:val="WW8Num4z5"/>
    <w:next w:val="854"/>
    <w:link w:val="842"/>
  </w:style>
  <w:style w:type="character" w:styleId="855">
    <w:name w:val="WW8Num4z6"/>
    <w:next w:val="855"/>
    <w:link w:val="842"/>
  </w:style>
  <w:style w:type="character" w:styleId="856">
    <w:name w:val="WW8Num4z7"/>
    <w:next w:val="856"/>
    <w:link w:val="842"/>
  </w:style>
  <w:style w:type="character" w:styleId="857">
    <w:name w:val="WW8Num4z8"/>
    <w:next w:val="857"/>
    <w:link w:val="842"/>
  </w:style>
  <w:style w:type="character" w:styleId="858">
    <w:name w:val="Основной шрифт абзаца5"/>
    <w:next w:val="858"/>
    <w:link w:val="842"/>
  </w:style>
  <w:style w:type="character" w:styleId="859">
    <w:name w:val="WW8Num5z0"/>
    <w:next w:val="859"/>
    <w:link w:val="842"/>
  </w:style>
  <w:style w:type="character" w:styleId="860">
    <w:name w:val="WW8Num5z1"/>
    <w:next w:val="860"/>
    <w:link w:val="842"/>
  </w:style>
  <w:style w:type="character" w:styleId="861">
    <w:name w:val="WW8Num5z2"/>
    <w:next w:val="861"/>
    <w:link w:val="842"/>
  </w:style>
  <w:style w:type="character" w:styleId="862">
    <w:name w:val="WW8Num5z3"/>
    <w:next w:val="862"/>
    <w:link w:val="842"/>
  </w:style>
  <w:style w:type="character" w:styleId="863">
    <w:name w:val="WW8Num5z4"/>
    <w:next w:val="863"/>
    <w:link w:val="842"/>
  </w:style>
  <w:style w:type="character" w:styleId="864">
    <w:name w:val="WW8Num5z5"/>
    <w:next w:val="864"/>
    <w:link w:val="842"/>
  </w:style>
  <w:style w:type="character" w:styleId="865">
    <w:name w:val="WW8Num5z6"/>
    <w:next w:val="865"/>
    <w:link w:val="842"/>
  </w:style>
  <w:style w:type="character" w:styleId="866">
    <w:name w:val="WW8Num5z7"/>
    <w:next w:val="866"/>
    <w:link w:val="842"/>
  </w:style>
  <w:style w:type="character" w:styleId="867">
    <w:name w:val="WW8Num5z8"/>
    <w:next w:val="867"/>
    <w:link w:val="842"/>
  </w:style>
  <w:style w:type="character" w:styleId="868">
    <w:name w:val="WW8Num6z0"/>
    <w:next w:val="868"/>
    <w:link w:val="842"/>
  </w:style>
  <w:style w:type="character" w:styleId="869">
    <w:name w:val="WW8Num6z1"/>
    <w:next w:val="869"/>
    <w:link w:val="842"/>
  </w:style>
  <w:style w:type="character" w:styleId="870">
    <w:name w:val="WW8Num6z2"/>
    <w:next w:val="870"/>
    <w:link w:val="842"/>
  </w:style>
  <w:style w:type="character" w:styleId="871">
    <w:name w:val="WW8Num7z0"/>
    <w:next w:val="871"/>
    <w:link w:val="842"/>
  </w:style>
  <w:style w:type="character" w:styleId="872">
    <w:name w:val="WW8Num7z1"/>
    <w:next w:val="872"/>
    <w:link w:val="842"/>
  </w:style>
  <w:style w:type="character" w:styleId="873">
    <w:name w:val="WW8Num7z2"/>
    <w:next w:val="873"/>
    <w:link w:val="842"/>
  </w:style>
  <w:style w:type="character" w:styleId="874">
    <w:name w:val="Основной шрифт абзаца4"/>
    <w:next w:val="874"/>
    <w:link w:val="842"/>
  </w:style>
  <w:style w:type="character" w:styleId="875">
    <w:name w:val="WW8Num6z3"/>
    <w:next w:val="875"/>
    <w:link w:val="842"/>
  </w:style>
  <w:style w:type="character" w:styleId="876">
    <w:name w:val="WW8Num6z4"/>
    <w:next w:val="876"/>
    <w:link w:val="842"/>
  </w:style>
  <w:style w:type="character" w:styleId="877">
    <w:name w:val="WW8Num6z5"/>
    <w:next w:val="877"/>
    <w:link w:val="842"/>
  </w:style>
  <w:style w:type="character" w:styleId="878">
    <w:name w:val="WW8Num6z6"/>
    <w:next w:val="878"/>
    <w:link w:val="842"/>
  </w:style>
  <w:style w:type="character" w:styleId="879">
    <w:name w:val="WW8Num6z7"/>
    <w:next w:val="879"/>
    <w:link w:val="842"/>
  </w:style>
  <w:style w:type="character" w:styleId="880">
    <w:name w:val="WW8Num6z8"/>
    <w:next w:val="880"/>
    <w:link w:val="842"/>
  </w:style>
  <w:style w:type="character" w:styleId="881">
    <w:name w:val="Основной шрифт абзаца3"/>
    <w:next w:val="881"/>
    <w:link w:val="842"/>
  </w:style>
  <w:style w:type="character" w:styleId="882">
    <w:name w:val="WW8Num2z1"/>
    <w:next w:val="882"/>
    <w:link w:val="842"/>
  </w:style>
  <w:style w:type="character" w:styleId="883">
    <w:name w:val="WW8Num2z2"/>
    <w:next w:val="883"/>
    <w:link w:val="842"/>
  </w:style>
  <w:style w:type="character" w:styleId="884">
    <w:name w:val="WW8Num2z3"/>
    <w:next w:val="884"/>
    <w:link w:val="842"/>
  </w:style>
  <w:style w:type="character" w:styleId="885">
    <w:name w:val="WW8Num2z4"/>
    <w:next w:val="885"/>
    <w:link w:val="842"/>
  </w:style>
  <w:style w:type="character" w:styleId="886">
    <w:name w:val="WW8Num2z5"/>
    <w:next w:val="886"/>
    <w:link w:val="842"/>
  </w:style>
  <w:style w:type="character" w:styleId="887">
    <w:name w:val="WW8Num2z6"/>
    <w:next w:val="887"/>
    <w:link w:val="842"/>
  </w:style>
  <w:style w:type="character" w:styleId="888">
    <w:name w:val="WW8Num2z7"/>
    <w:next w:val="888"/>
    <w:link w:val="842"/>
  </w:style>
  <w:style w:type="character" w:styleId="889">
    <w:name w:val="WW8Num2z8"/>
    <w:next w:val="889"/>
    <w:link w:val="842"/>
  </w:style>
  <w:style w:type="character" w:styleId="890">
    <w:name w:val="Основной шрифт абзаца2"/>
    <w:next w:val="890"/>
    <w:link w:val="842"/>
  </w:style>
  <w:style w:type="character" w:styleId="891">
    <w:name w:val="WW8Num3z1"/>
    <w:next w:val="891"/>
    <w:link w:val="842"/>
  </w:style>
  <w:style w:type="character" w:styleId="892">
    <w:name w:val="WW8Num3z2"/>
    <w:next w:val="892"/>
    <w:link w:val="842"/>
  </w:style>
  <w:style w:type="character" w:styleId="893">
    <w:name w:val="WW8Num3z3"/>
    <w:next w:val="893"/>
    <w:link w:val="842"/>
  </w:style>
  <w:style w:type="character" w:styleId="894">
    <w:name w:val="WW8Num3z4"/>
    <w:next w:val="894"/>
    <w:link w:val="842"/>
  </w:style>
  <w:style w:type="character" w:styleId="895">
    <w:name w:val="WW8Num3z5"/>
    <w:next w:val="895"/>
    <w:link w:val="842"/>
  </w:style>
  <w:style w:type="character" w:styleId="896">
    <w:name w:val="WW8Num3z6"/>
    <w:next w:val="896"/>
    <w:link w:val="842"/>
  </w:style>
  <w:style w:type="character" w:styleId="897">
    <w:name w:val="WW8Num3z7"/>
    <w:next w:val="897"/>
    <w:link w:val="842"/>
  </w:style>
  <w:style w:type="character" w:styleId="898">
    <w:name w:val="WW8Num3z8"/>
    <w:next w:val="898"/>
    <w:link w:val="842"/>
  </w:style>
  <w:style w:type="character" w:styleId="899">
    <w:name w:val="WW8Num7z3"/>
    <w:next w:val="899"/>
    <w:link w:val="842"/>
  </w:style>
  <w:style w:type="character" w:styleId="900">
    <w:name w:val="WW8Num7z4"/>
    <w:next w:val="900"/>
    <w:link w:val="842"/>
  </w:style>
  <w:style w:type="character" w:styleId="901">
    <w:name w:val="WW8Num7z5"/>
    <w:next w:val="901"/>
    <w:link w:val="842"/>
  </w:style>
  <w:style w:type="character" w:styleId="902">
    <w:name w:val="WW8Num7z6"/>
    <w:next w:val="902"/>
    <w:link w:val="842"/>
  </w:style>
  <w:style w:type="character" w:styleId="903">
    <w:name w:val="WW8Num7z7"/>
    <w:next w:val="903"/>
    <w:link w:val="842"/>
  </w:style>
  <w:style w:type="character" w:styleId="904">
    <w:name w:val="WW8Num7z8"/>
    <w:next w:val="904"/>
    <w:link w:val="842"/>
  </w:style>
  <w:style w:type="character" w:styleId="905">
    <w:name w:val="Основной шрифт абзаца1"/>
    <w:next w:val="905"/>
    <w:link w:val="842"/>
  </w:style>
  <w:style w:type="character" w:styleId="906">
    <w:name w:val="Гиперссылка"/>
    <w:next w:val="906"/>
    <w:link w:val="842"/>
    <w:rPr>
      <w:color w:val="000080"/>
      <w:u w:val="single"/>
      <w:lang w:val="en-US" w:bidi="en-US" w:eastAsia="en-US"/>
    </w:rPr>
  </w:style>
  <w:style w:type="character" w:styleId="907">
    <w:name w:val="Маркеры списка"/>
    <w:next w:val="907"/>
    <w:link w:val="842"/>
    <w:rPr>
      <w:rFonts w:ascii="OpenSymbol" w:hAnsi="OpenSymbol" w:eastAsia="OpenSymbol"/>
    </w:rPr>
  </w:style>
  <w:style w:type="character" w:styleId="908">
    <w:name w:val="Символ нумерации"/>
    <w:next w:val="908"/>
    <w:link w:val="842"/>
  </w:style>
  <w:style w:type="paragraph" w:styleId="909">
    <w:name w:val="Заголовок"/>
    <w:basedOn w:val="842"/>
    <w:next w:val="910"/>
    <w:link w:val="842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910">
    <w:name w:val="Основной текст"/>
    <w:basedOn w:val="842"/>
    <w:next w:val="910"/>
    <w:link w:val="842"/>
    <w:pPr>
      <w:spacing w:after="120" w:before="0"/>
    </w:pPr>
  </w:style>
  <w:style w:type="paragraph" w:styleId="911">
    <w:name w:val="Список"/>
    <w:basedOn w:val="910"/>
    <w:next w:val="911"/>
    <w:link w:val="842"/>
  </w:style>
  <w:style w:type="paragraph" w:styleId="912">
    <w:name w:val="Название5"/>
    <w:basedOn w:val="842"/>
    <w:next w:val="912"/>
    <w:link w:val="842"/>
    <w:rPr>
      <w:i/>
      <w:iCs/>
      <w:sz w:val="24"/>
      <w:szCs w:val="24"/>
    </w:rPr>
    <w:pPr>
      <w:spacing w:after="120" w:before="120"/>
      <w:suppressLineNumbers/>
    </w:pPr>
  </w:style>
  <w:style w:type="paragraph" w:styleId="913">
    <w:name w:val="Указатель5"/>
    <w:basedOn w:val="842"/>
    <w:next w:val="913"/>
    <w:link w:val="842"/>
    <w:pPr>
      <w:suppressLineNumbers/>
    </w:pPr>
  </w:style>
  <w:style w:type="paragraph" w:styleId="914">
    <w:name w:val="Название4"/>
    <w:basedOn w:val="842"/>
    <w:next w:val="914"/>
    <w:link w:val="842"/>
    <w:rPr>
      <w:i/>
      <w:iCs/>
      <w:sz w:val="24"/>
      <w:szCs w:val="24"/>
    </w:rPr>
    <w:pPr>
      <w:spacing w:after="120" w:before="120"/>
      <w:suppressLineNumbers/>
    </w:pPr>
  </w:style>
  <w:style w:type="paragraph" w:styleId="915">
    <w:name w:val="Указатель4"/>
    <w:basedOn w:val="842"/>
    <w:next w:val="915"/>
    <w:link w:val="842"/>
    <w:pPr>
      <w:suppressLineNumbers/>
    </w:pPr>
  </w:style>
  <w:style w:type="paragraph" w:styleId="916">
    <w:name w:val="Название3"/>
    <w:basedOn w:val="842"/>
    <w:next w:val="916"/>
    <w:link w:val="842"/>
    <w:rPr>
      <w:i/>
      <w:iCs/>
      <w:sz w:val="24"/>
      <w:szCs w:val="24"/>
    </w:rPr>
    <w:pPr>
      <w:spacing w:after="120" w:before="120"/>
      <w:suppressLineNumbers/>
    </w:pPr>
  </w:style>
  <w:style w:type="paragraph" w:styleId="917">
    <w:name w:val="Указатель3"/>
    <w:basedOn w:val="842"/>
    <w:next w:val="917"/>
    <w:link w:val="842"/>
    <w:pPr>
      <w:suppressLineNumbers/>
    </w:pPr>
  </w:style>
  <w:style w:type="paragraph" w:styleId="918">
    <w:name w:val="Название2"/>
    <w:basedOn w:val="842"/>
    <w:next w:val="918"/>
    <w:link w:val="842"/>
    <w:rPr>
      <w:i/>
      <w:iCs/>
      <w:sz w:val="24"/>
      <w:szCs w:val="24"/>
    </w:rPr>
    <w:pPr>
      <w:spacing w:after="120" w:before="120"/>
      <w:suppressLineNumbers/>
    </w:pPr>
  </w:style>
  <w:style w:type="paragraph" w:styleId="919">
    <w:name w:val="Указатель2"/>
    <w:basedOn w:val="842"/>
    <w:next w:val="919"/>
    <w:link w:val="842"/>
    <w:pPr>
      <w:suppressLineNumbers/>
    </w:pPr>
  </w:style>
  <w:style w:type="paragraph" w:styleId="920">
    <w:name w:val="Название1"/>
    <w:basedOn w:val="842"/>
    <w:next w:val="920"/>
    <w:link w:val="842"/>
    <w:rPr>
      <w:i/>
      <w:iCs/>
      <w:sz w:val="24"/>
      <w:szCs w:val="24"/>
    </w:rPr>
    <w:pPr>
      <w:spacing w:after="120" w:before="120"/>
      <w:suppressLineNumbers/>
    </w:pPr>
  </w:style>
  <w:style w:type="paragraph" w:styleId="921">
    <w:name w:val="Указатель1"/>
    <w:basedOn w:val="842"/>
    <w:next w:val="921"/>
    <w:link w:val="842"/>
    <w:pPr>
      <w:suppressLineNumbers/>
    </w:pPr>
  </w:style>
  <w:style w:type="paragraph" w:styleId="922">
    <w:name w:val="Текст выноски"/>
    <w:basedOn w:val="842"/>
    <w:next w:val="922"/>
    <w:link w:val="842"/>
    <w:rPr>
      <w:rFonts w:ascii="Tahoma" w:hAnsi="Tahoma"/>
      <w:sz w:val="16"/>
      <w:szCs w:val="16"/>
    </w:rPr>
  </w:style>
  <w:style w:type="paragraph" w:styleId="923">
    <w:name w:val="ConsPlusNormal"/>
    <w:next w:val="923"/>
    <w:link w:val="84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924">
    <w:name w:val="ConsPlusCell"/>
    <w:next w:val="924"/>
    <w:link w:val="842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925">
    <w:name w:val="Содержимое таблицы"/>
    <w:basedOn w:val="842"/>
    <w:next w:val="925"/>
    <w:link w:val="842"/>
    <w:pPr>
      <w:suppressLineNumbers/>
    </w:pPr>
  </w:style>
  <w:style w:type="paragraph" w:styleId="926">
    <w:name w:val="Заголовок таблицы"/>
    <w:basedOn w:val="925"/>
    <w:next w:val="926"/>
    <w:link w:val="842"/>
    <w:rPr>
      <w:b/>
      <w:bCs/>
    </w:rPr>
    <w:pPr>
      <w:jc w:val="center"/>
      <w:suppressLineNumbers/>
    </w:pPr>
  </w:style>
  <w:style w:type="character" w:styleId="927" w:default="1">
    <w:name w:val="Default Paragraph Font"/>
    <w:uiPriority w:val="1"/>
    <w:semiHidden/>
    <w:unhideWhenUsed/>
  </w:style>
  <w:style w:type="numbering" w:styleId="928" w:default="1">
    <w:name w:val="No List"/>
    <w:uiPriority w:val="99"/>
    <w:semiHidden/>
    <w:unhideWhenUsed/>
  </w:style>
  <w:style w:type="paragraph" w:styleId="929" w:default="1">
    <w:name w:val="Normal"/>
    <w:qFormat/>
  </w:style>
  <w:style w:type="table" w:styleId="930" w:default="1">
    <w:name w:val="Normal Table"/>
    <w:uiPriority w:val="99"/>
    <w:semiHidden/>
    <w:unhideWhenUsed/>
    <w:tblPr/>
  </w:style>
  <w:style w:type="paragraph" w:styleId="931">
    <w:name w:val="Базовый"/>
    <w:link w:val="688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ar-SA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01.01.2020" TargetMode="External"/><Relationship Id="rId11" Type="http://schemas.openxmlformats.org/officeDocument/2006/relationships/hyperlink" Target="http://30.04.2020" TargetMode="External"/><Relationship Id="rId12" Type="http://schemas.openxmlformats.org/officeDocument/2006/relationships/hyperlink" Target="http://01.05.2020" TargetMode="External"/><Relationship Id="rId13" Type="http://schemas.openxmlformats.org/officeDocument/2006/relationships/hyperlink" Target="http://21.03.2020" TargetMode="External"/><Relationship Id="rId14" Type="http://schemas.openxmlformats.org/officeDocument/2006/relationships/hyperlink" Target="http://21.03.2020" TargetMode="External"/><Relationship Id="rId15" Type="http://schemas.openxmlformats.org/officeDocument/2006/relationships/hyperlink" Target="http://21.03.2020" TargetMode="External"/><Relationship Id="rId16" Type="http://schemas.openxmlformats.org/officeDocument/2006/relationships/hyperlink" Target="http://21.03.2020" TargetMode="External"/><Relationship Id="rId17" Type="http://schemas.openxmlformats.org/officeDocument/2006/relationships/hyperlink" Target="http://21.03.2020" TargetMode="External"/><Relationship Id="rId18" Type="http://schemas.openxmlformats.org/officeDocument/2006/relationships/hyperlink" Target="http://21.03.2020" TargetMode="External"/><Relationship Id="rId19" Type="http://schemas.openxmlformats.org/officeDocument/2006/relationships/hyperlink" Target="http://21.03.2020" TargetMode="External"/><Relationship Id="rId20" Type="http://schemas.openxmlformats.org/officeDocument/2006/relationships/hyperlink" Target="http://21.03.2020" TargetMode="External"/><Relationship Id="rId21" Type="http://schemas.openxmlformats.org/officeDocument/2006/relationships/hyperlink" Target="http://21.03.202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25</cp:revision>
  <dcterms:modified xsi:type="dcterms:W3CDTF">2021-05-28T08:36:42Z</dcterms:modified>
</cp:coreProperties>
</file>