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customXml/itemProps1.xml" ContentType="application/vnd.openxmlformats-officedocument.customXml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52"/>
        <w:jc w:val="center"/>
        <w:rPr>
          <w:b/>
          <w:color w:val="000000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АКТ</w:t>
      </w:r>
      <w:r>
        <w:rPr>
          <w:color w:val="000000" w:themeColor="text1"/>
        </w:rPr>
      </w:r>
      <w:r/>
    </w:p>
    <w:p>
      <w:pPr>
        <w:pStyle w:val="852"/>
        <w:jc w:val="center"/>
        <w:rPr>
          <w:b/>
          <w:color w:val="558ED4"/>
          <w:sz w:val="28"/>
          <w:szCs w:val="28"/>
        </w:rPr>
      </w:pPr>
      <w:r>
        <w:rPr>
          <w:b/>
          <w:color w:val="558ED4" w:themeColor="text2" w:themeTint="99"/>
          <w:sz w:val="28"/>
          <w:szCs w:val="28"/>
        </w:rPr>
      </w:r>
      <w:r>
        <w:rPr>
          <w:color w:val="558ED4" w:themeColor="text2" w:themeTint="99"/>
        </w:rPr>
      </w:r>
      <w:r/>
    </w:p>
    <w:p>
      <w:pPr>
        <w:pStyle w:val="85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На основании приказа департамента информационной политики, анализа и развития коммуникационных ресурсов Костромской области №  </w:t>
      </w:r>
      <w:r>
        <w:rPr>
          <w:color w:val="000000" w:themeColor="text1"/>
        </w:rPr>
        <w:t xml:space="preserve">204</w:t>
      </w:r>
      <w:r>
        <w:rPr>
          <w:color w:val="000000" w:themeColor="text1"/>
        </w:rPr>
        <w:t xml:space="preserve"> от </w:t>
      </w:r>
      <w:r>
        <w:rPr>
          <w:color w:val="000000" w:themeColor="text1"/>
        </w:rPr>
        <w:t xml:space="preserve">04 июня 2021</w:t>
      </w:r>
      <w:r>
        <w:rPr>
          <w:color w:val="000000" w:themeColor="text1"/>
        </w:rPr>
        <w:t xml:space="preserve"> го</w:t>
      </w:r>
      <w:r>
        <w:rPr>
          <w:color w:val="000000" w:themeColor="text1"/>
        </w:rPr>
        <w:t xml:space="preserve">да  заведующим сектором экономики и финансов- главным бухгалтером П</w:t>
      </w:r>
      <w:r>
        <w:rPr>
          <w:color w:val="000000" w:themeColor="text1"/>
        </w:rPr>
        <w:t xml:space="preserve">о</w:t>
      </w:r>
      <w:r>
        <w:rPr>
          <w:color w:val="000000" w:themeColor="text1"/>
        </w:rPr>
        <w:t xml:space="preserve">прядухиной Н.Н.,  консультантом сектора экономики и  финансов Колчан</w:t>
      </w:r>
      <w:r>
        <w:rPr>
          <w:color w:val="000000" w:themeColor="text1"/>
        </w:rPr>
        <w:t xml:space="preserve">о</w:t>
      </w:r>
      <w:r>
        <w:rPr>
          <w:color w:val="000000" w:themeColor="text1"/>
        </w:rPr>
        <w:t xml:space="preserve">вой С.В. проведена  выборочная  проверка ведения бухгалтерского учета и целевого использов</w:t>
      </w:r>
      <w:r>
        <w:rPr>
          <w:color w:val="000000" w:themeColor="text1"/>
        </w:rPr>
        <w:t xml:space="preserve">а</w:t>
      </w:r>
      <w:r>
        <w:rPr>
          <w:color w:val="000000" w:themeColor="text1"/>
        </w:rPr>
        <w:t xml:space="preserve">ния средств из областного бюджета, а также поступление и расходование средств, п</w:t>
      </w:r>
      <w:r>
        <w:rPr>
          <w:color w:val="000000" w:themeColor="text1"/>
        </w:rPr>
        <w:t xml:space="preserve">о</w:t>
      </w:r>
      <w:r>
        <w:rPr>
          <w:color w:val="000000" w:themeColor="text1"/>
        </w:rPr>
        <w:t xml:space="preserve">лученных от предпринимательской и иной приносящей доход деятельности за  период с 01.01.2020</w:t>
      </w:r>
      <w:r>
        <w:rPr>
          <w:color w:val="000000" w:themeColor="text1"/>
        </w:rPr>
        <w:t xml:space="preserve"> г. по 31.12.2020</w:t>
      </w:r>
      <w:r>
        <w:rPr>
          <w:color w:val="000000" w:themeColor="text1"/>
        </w:rPr>
        <w:t xml:space="preserve"> г. ОГБУ «Редакция газеты «Парфеньевский вестник</w:t>
      </w:r>
      <w:r>
        <w:rPr>
          <w:color w:val="000000" w:themeColor="text1"/>
        </w:rPr>
        <w:t xml:space="preserve">».</w:t>
      </w:r>
      <w:r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Проверка проводилась в департаменте информац</w:t>
      </w:r>
      <w:r>
        <w:rPr>
          <w:color w:val="000000" w:themeColor="text1"/>
        </w:rPr>
        <w:t xml:space="preserve">и</w:t>
      </w:r>
      <w:r>
        <w:rPr>
          <w:color w:val="000000" w:themeColor="text1"/>
        </w:rPr>
        <w:t xml:space="preserve">онной политики, анализа и развития коммуникационных ресурсов Костромской области по адресу: г. Кострома, ул. Советская, д. 52 по представленным документам с разрешения редактора ОГБУ «Редакция газеты «</w:t>
      </w:r>
      <w:r>
        <w:rPr>
          <w:color w:val="000000" w:themeColor="text1"/>
        </w:rPr>
        <w:t xml:space="preserve">Парфеньевский вестни</w:t>
      </w:r>
      <w:r>
        <w:rPr>
          <w:color w:val="000000" w:themeColor="text1"/>
        </w:rPr>
        <w:t xml:space="preserve">к» С.Ю.Довгопостол</w:t>
      </w:r>
      <w:r>
        <w:rPr>
          <w:color w:val="000000" w:themeColor="text1"/>
        </w:rPr>
        <w:t xml:space="preserve">.</w:t>
      </w:r>
      <w:r>
        <w:rPr>
          <w:color w:val="000000" w:themeColor="text1"/>
        </w:rPr>
      </w:r>
      <w:r/>
    </w:p>
    <w:p>
      <w:pPr>
        <w:pStyle w:val="852"/>
        <w:ind w:firstLine="540"/>
        <w:jc w:val="right"/>
        <w:rPr>
          <w:color w:val="000000"/>
        </w:rPr>
      </w:pPr>
      <w:r>
        <w:rPr>
          <w:color w:val="000000" w:themeColor="text1"/>
        </w:rPr>
        <w:t xml:space="preserve">Проверка начата 01 июля</w:t>
      </w:r>
      <w:r>
        <w:rPr>
          <w:color w:val="000000" w:themeColor="text1"/>
        </w:rPr>
        <w:t xml:space="preserve"> 2021 года</w:t>
      </w:r>
      <w:r>
        <w:rPr>
          <w:color w:val="000000" w:themeColor="text1"/>
        </w:rPr>
      </w:r>
      <w:r/>
    </w:p>
    <w:p>
      <w:pPr>
        <w:pStyle w:val="852"/>
        <w:ind w:firstLine="540"/>
        <w:jc w:val="right"/>
        <w:rPr>
          <w:color w:val="000000"/>
        </w:rPr>
      </w:pPr>
      <w:r>
        <w:rPr>
          <w:color w:val="000000" w:themeColor="text1"/>
        </w:rPr>
        <w:t xml:space="preserve">Закончена 14 июля</w:t>
      </w:r>
      <w:r>
        <w:rPr>
          <w:color w:val="000000" w:themeColor="text1"/>
        </w:rPr>
        <w:t xml:space="preserve"> 2021 года</w:t>
      </w:r>
      <w:r>
        <w:rPr>
          <w:color w:val="000000" w:themeColor="text1"/>
        </w:rPr>
      </w:r>
      <w:r/>
    </w:p>
    <w:p>
      <w:pPr>
        <w:pStyle w:val="852"/>
        <w:rPr>
          <w:color w:val="000000"/>
        </w:rPr>
      </w:pPr>
      <w:r>
        <w:rPr>
          <w:color w:val="000000" w:themeColor="text1"/>
        </w:rPr>
      </w:r>
      <w:r>
        <w:rPr>
          <w:color w:val="000000" w:themeColor="text1"/>
        </w:rPr>
      </w:r>
      <w:r/>
    </w:p>
    <w:p>
      <w:pPr>
        <w:pStyle w:val="852"/>
        <w:ind w:firstLine="540"/>
        <w:jc w:val="center"/>
        <w:rPr>
          <w:b/>
          <w:color w:val="000000"/>
          <w:highlight w:val="none"/>
        </w:rPr>
      </w:pPr>
      <w:r>
        <w:rPr>
          <w:b/>
          <w:color w:val="000000" w:themeColor="text1"/>
        </w:rPr>
        <w:t xml:space="preserve">Сведения о проверяемой организации</w:t>
      </w:r>
      <w:r>
        <w:rPr>
          <w:color w:val="000000" w:themeColor="text1"/>
        </w:rPr>
      </w:r>
      <w:r/>
    </w:p>
    <w:p>
      <w:pPr>
        <w:pStyle w:val="852"/>
        <w:ind w:firstLine="540"/>
        <w:jc w:val="center"/>
        <w:rPr>
          <w:b/>
          <w:color w:val="000000"/>
        </w:rPr>
      </w:pPr>
      <w:r>
        <w:rPr>
          <w:b/>
          <w:color w:val="000000" w:themeColor="text1"/>
          <w:highlight w:val="none"/>
        </w:rPr>
      </w:r>
      <w:r>
        <w:rPr>
          <w:b/>
          <w:color w:val="000000" w:themeColor="text1"/>
          <w:highlight w:val="none"/>
        </w:rPr>
      </w:r>
      <w:r/>
    </w:p>
    <w:p>
      <w:pPr>
        <w:pStyle w:val="852"/>
        <w:ind w:firstLine="540"/>
        <w:jc w:val="both"/>
        <w:rPr>
          <w:color w:val="000000"/>
          <w:u w:val="none"/>
        </w:rPr>
      </w:pPr>
      <w:r>
        <w:rPr>
          <w:color w:val="000000" w:themeColor="text1"/>
        </w:rPr>
        <w:t xml:space="preserve">Учредителем ОГБУ «Редакция газеты «</w:t>
      </w:r>
      <w:r>
        <w:rPr>
          <w:color w:val="000000" w:themeColor="text1"/>
        </w:rPr>
        <w:t xml:space="preserve">Парфеньевский</w:t>
      </w:r>
      <w:r>
        <w:rPr>
          <w:color w:val="000000" w:themeColor="text1"/>
        </w:rPr>
        <w:t xml:space="preserve"> вестник</w:t>
      </w:r>
      <w:r>
        <w:rPr>
          <w:color w:val="000000" w:themeColor="text1"/>
        </w:rPr>
        <w:t xml:space="preserve">» является департамент информационной политики, анализа и развития коммуникацион</w:t>
      </w:r>
      <w:r>
        <w:rPr>
          <w:color w:val="000000" w:themeColor="text1"/>
        </w:rPr>
        <w:t xml:space="preserve">ных ресурсов Костромской области. За весь проверяемый период редактором газеты являлась Довгопостол С.Ю., главным бухгалтером являлась Максимчук М.Н.</w:t>
      </w:r>
      <w:r>
        <w:rPr>
          <w:color w:val="000000" w:themeColor="text1"/>
          <w:u w:val="none"/>
        </w:rPr>
        <w:t xml:space="preserve"> (с </w:t>
      </w:r>
      <w:hyperlink r:id="rId10" w:tooltip="http://01.01.2020" w:history="1">
        <w:r>
          <w:rPr>
            <w:rStyle w:val="916"/>
            <w:color w:val="000000" w:themeColor="text1"/>
            <w:u w:val="none"/>
          </w:rPr>
          <w:t xml:space="preserve">01.01.2020</w:t>
        </w:r>
      </w:hyperlink>
      <w:r>
        <w:rPr>
          <w:color w:val="000000" w:themeColor="text1"/>
          <w:u w:val="none"/>
        </w:rPr>
        <w:t xml:space="preserve"> по 21.09.2020), </w:t>
      </w:r>
      <w:hyperlink r:id="rId11" w:tooltip="http://Н.Н.Чернышова" w:history="1">
        <w:r>
          <w:rPr>
            <w:rStyle w:val="916"/>
            <w:color w:val="000000" w:themeColor="text1"/>
            <w:u w:val="none"/>
          </w:rPr>
          <w:t xml:space="preserve">Чернышова</w:t>
        </w:r>
      </w:hyperlink>
      <w:r>
        <w:rPr>
          <w:color w:val="000000" w:themeColor="text1"/>
          <w:u w:val="none"/>
        </w:rPr>
        <w:t xml:space="preserve"> Н.Н. (с </w:t>
      </w:r>
      <w:hyperlink r:id="rId12" w:tooltip="http://24.09.2020" w:history="1">
        <w:r>
          <w:rPr>
            <w:rStyle w:val="916"/>
            <w:color w:val="000000" w:themeColor="text1"/>
            <w:u w:val="none"/>
          </w:rPr>
          <w:t xml:space="preserve">2</w:t>
        </w:r>
        <w:r>
          <w:rPr>
            <w:rStyle w:val="916"/>
            <w:color w:val="000000" w:themeColor="text1"/>
            <w:u w:val="none"/>
            <w:lang w:val="ru-RU"/>
          </w:rPr>
          <w:t xml:space="preserve">4</w:t>
        </w:r>
        <w:r>
          <w:rPr>
            <w:rStyle w:val="916"/>
            <w:color w:val="000000" w:themeColor="text1"/>
            <w:u w:val="none"/>
          </w:rPr>
          <w:t xml:space="preserve">.09.2020</w:t>
        </w:r>
      </w:hyperlink>
      <w:r>
        <w:rPr>
          <w:color w:val="000000" w:themeColor="text1"/>
          <w:u w:val="none"/>
        </w:rPr>
        <w:t xml:space="preserve"> по 31.12.2020)</w:t>
      </w:r>
      <w:r>
        <w:rPr>
          <w:color w:val="000000" w:themeColor="text1"/>
          <w:u w:val="none"/>
        </w:rPr>
        <w:t xml:space="preserve">.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ОГБУ «Редакция газеты «</w:t>
      </w:r>
      <w:r>
        <w:rPr>
          <w:color w:val="000000" w:themeColor="text1"/>
        </w:rPr>
        <w:t xml:space="preserve">Парфеньевский</w:t>
      </w:r>
      <w:r>
        <w:rPr>
          <w:color w:val="000000" w:themeColor="text1"/>
        </w:rPr>
        <w:t xml:space="preserve"> вестник</w:t>
      </w:r>
      <w:r>
        <w:rPr>
          <w:color w:val="000000" w:themeColor="text1"/>
        </w:rPr>
        <w:t xml:space="preserve">» является юридическим лицом, имеет лицевые счета в департаменте финансов Костромской области по учету средств из о</w:t>
      </w:r>
      <w:r>
        <w:rPr>
          <w:color w:val="000000" w:themeColor="text1"/>
        </w:rPr>
        <w:t xml:space="preserve">бластного бюджета и по учету средств по доходам от предпринимательской и иной приносящей доход деятельности, печать со своим наименованием. Редакция финансируется за счет средств из областного бюджета в виде субсидии на выполнение государственного задания.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Юридический адрес: </w:t>
      </w:r>
      <w:r>
        <w:rPr>
          <w:color w:val="000000" w:themeColor="text1"/>
        </w:rPr>
        <w:t xml:space="preserve">157270, Костромская область, с. Парфеньево, ул. Ленина, д. 38</w:t>
      </w:r>
      <w:r>
        <w:rPr>
          <w:color w:val="000000" w:themeColor="text1"/>
        </w:rPr>
        <w:t xml:space="preserve">.</w:t>
      </w:r>
      <w:r>
        <w:rPr>
          <w:color w:val="000000" w:themeColor="text1"/>
        </w:rPr>
      </w:r>
      <w:r/>
    </w:p>
    <w:p>
      <w:pPr>
        <w:pStyle w:val="941"/>
        <w:ind w:left="0" w:right="0" w:firstLine="540"/>
        <w:jc w:val="both"/>
        <w:rPr>
          <w:color w:val="000000"/>
        </w:rPr>
      </w:pPr>
      <w:r>
        <w:rPr>
          <w:color w:val="000000" w:themeColor="text1"/>
        </w:rPr>
        <w:t xml:space="preserve">ИНН/КПП 4422000655/442201001</w:t>
      </w:r>
      <w:r>
        <w:rPr>
          <w:color w:val="000000" w:themeColor="text1"/>
        </w:rPr>
        <w:t xml:space="preserve">.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ОГБУ «Редакция газеты «</w:t>
      </w:r>
      <w:r>
        <w:rPr>
          <w:color w:val="000000" w:themeColor="text1"/>
        </w:rPr>
        <w:t xml:space="preserve">Парфеньевский</w:t>
      </w:r>
      <w:r>
        <w:rPr>
          <w:color w:val="000000" w:themeColor="text1"/>
        </w:rPr>
        <w:t xml:space="preserve"> вестник</w:t>
      </w:r>
      <w:r>
        <w:rPr>
          <w:color w:val="000000" w:themeColor="text1"/>
        </w:rPr>
        <w:t xml:space="preserve">» осуществляет свою деятельность на основании Устава ОГБУ «Редакция газеты «</w:t>
      </w:r>
      <w:r>
        <w:rPr>
          <w:color w:val="000000" w:themeColor="text1"/>
        </w:rPr>
        <w:t xml:space="preserve">Парфеньевский</w:t>
      </w:r>
      <w:r>
        <w:rPr>
          <w:color w:val="000000" w:themeColor="text1"/>
        </w:rPr>
        <w:t xml:space="preserve"> вестник</w:t>
      </w:r>
      <w:r>
        <w:rPr>
          <w:color w:val="000000" w:themeColor="text1"/>
        </w:rPr>
        <w:t xml:space="preserve">».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Основными целями являются: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- обеспечение конституционного права граждан на информацию путем оперативной публ</w:t>
      </w:r>
      <w:r>
        <w:rPr>
          <w:color w:val="000000" w:themeColor="text1"/>
        </w:rPr>
        <w:t xml:space="preserve">и</w:t>
      </w:r>
      <w:r>
        <w:rPr>
          <w:color w:val="000000" w:themeColor="text1"/>
        </w:rPr>
        <w:t xml:space="preserve">кации в газете сообщений и материалов, содержащих общественно – значимые сведения, затраг</w:t>
      </w:r>
      <w:r>
        <w:rPr>
          <w:color w:val="000000" w:themeColor="text1"/>
        </w:rPr>
        <w:t xml:space="preserve">и</w:t>
      </w:r>
      <w:r>
        <w:rPr>
          <w:color w:val="000000" w:themeColor="text1"/>
        </w:rPr>
        <w:t xml:space="preserve">вающие интересы населения; 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- обеспечение конституционного права граждан на свободу мысли и слова путем организ</w:t>
      </w:r>
      <w:r>
        <w:rPr>
          <w:color w:val="000000" w:themeColor="text1"/>
        </w:rPr>
        <w:t xml:space="preserve">а</w:t>
      </w:r>
      <w:r>
        <w:rPr>
          <w:color w:val="000000" w:themeColor="text1"/>
        </w:rPr>
        <w:t xml:space="preserve">ции на страницах газеты открытого обсуждения общественно – значимых проблем жизни района и его жителей, работы органов государственной власти и местного самоуправления, различных а</w:t>
      </w:r>
      <w:r>
        <w:rPr>
          <w:color w:val="000000" w:themeColor="text1"/>
        </w:rPr>
        <w:t xml:space="preserve">с</w:t>
      </w:r>
      <w:r>
        <w:rPr>
          <w:color w:val="000000" w:themeColor="text1"/>
        </w:rPr>
        <w:t xml:space="preserve">пектов социально-экономической, общественно - политической и культурной жизни, а также др</w:t>
      </w:r>
      <w:r>
        <w:rPr>
          <w:color w:val="000000" w:themeColor="text1"/>
        </w:rPr>
        <w:t xml:space="preserve">у</w:t>
      </w:r>
      <w:r>
        <w:rPr>
          <w:color w:val="000000" w:themeColor="text1"/>
        </w:rPr>
        <w:t xml:space="preserve">гих вопросов, интересующих читателей газеты;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- способствование становлению в обществе морально – этических отношений, основанных на демократических, правовых и гуманитарных началах.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Предметом деятельности редакции являются производство и выпуск периодического печа</w:t>
      </w:r>
      <w:r>
        <w:rPr>
          <w:color w:val="000000" w:themeColor="text1"/>
        </w:rPr>
        <w:t xml:space="preserve">т</w:t>
      </w:r>
      <w:r>
        <w:rPr>
          <w:color w:val="000000" w:themeColor="text1"/>
        </w:rPr>
        <w:t xml:space="preserve">ного издания – газеты «</w:t>
      </w:r>
      <w:r>
        <w:rPr>
          <w:color w:val="000000" w:themeColor="text1"/>
        </w:rPr>
        <w:t xml:space="preserve">Парфеньевский</w:t>
      </w:r>
      <w:r>
        <w:rPr>
          <w:color w:val="000000" w:themeColor="text1"/>
        </w:rPr>
        <w:t xml:space="preserve"> вестник</w:t>
      </w:r>
      <w:r>
        <w:rPr>
          <w:color w:val="000000" w:themeColor="text1"/>
        </w:rPr>
        <w:t xml:space="preserve">» в соответствии с примерной тематикой, заявленной учредит</w:t>
      </w:r>
      <w:r>
        <w:rPr>
          <w:color w:val="000000" w:themeColor="text1"/>
        </w:rPr>
        <w:t xml:space="preserve">е</w:t>
      </w:r>
      <w:r>
        <w:rPr>
          <w:color w:val="000000" w:themeColor="text1"/>
        </w:rPr>
        <w:t xml:space="preserve">лем газеты при ее регистрации как средства массовой информации указанной в свидетельстве о рег</w:t>
      </w:r>
      <w:r>
        <w:rPr>
          <w:color w:val="000000" w:themeColor="text1"/>
        </w:rPr>
        <w:t xml:space="preserve">и</w:t>
      </w:r>
      <w:r>
        <w:rPr>
          <w:color w:val="000000" w:themeColor="text1"/>
        </w:rPr>
        <w:t xml:space="preserve">страции средства массовой информации.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Для достижения целей Учреждение уполномочено осуществлять следующие виды деятел</w:t>
      </w:r>
      <w:r>
        <w:rPr>
          <w:color w:val="000000" w:themeColor="text1"/>
        </w:rPr>
        <w:t xml:space="preserve">ь</w:t>
      </w:r>
      <w:r>
        <w:rPr>
          <w:color w:val="000000" w:themeColor="text1"/>
        </w:rPr>
        <w:t xml:space="preserve">ности: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- осуществлять издательство, производство и реализацию периодического печатного издания – газеты «</w:t>
      </w:r>
      <w:r>
        <w:rPr>
          <w:color w:val="000000" w:themeColor="text1"/>
        </w:rPr>
        <w:t xml:space="preserve">Парфеньевский</w:t>
      </w:r>
      <w:r>
        <w:rPr>
          <w:color w:val="000000" w:themeColor="text1"/>
        </w:rPr>
        <w:t xml:space="preserve"> вестник</w:t>
      </w:r>
      <w:r>
        <w:rPr>
          <w:color w:val="000000" w:themeColor="text1"/>
        </w:rPr>
        <w:t xml:space="preserve">» и приложений к ней; 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- осуществление в соответствии с Законом РФ № 2124-1 от 2712.1991 «О средс</w:t>
      </w:r>
      <w:r>
        <w:rPr>
          <w:color w:val="000000" w:themeColor="text1"/>
        </w:rPr>
        <w:t xml:space="preserve">т</w:t>
      </w:r>
      <w:r>
        <w:rPr>
          <w:color w:val="000000" w:themeColor="text1"/>
        </w:rPr>
        <w:t xml:space="preserve">вах массовой информации» поиск и сбор информации, запрашивать и получает информацию о деятельности органов государственной власти и местного самоуправления, общественных объ</w:t>
      </w:r>
      <w:r>
        <w:rPr>
          <w:color w:val="000000" w:themeColor="text1"/>
        </w:rPr>
        <w:t xml:space="preserve">е</w:t>
      </w:r>
      <w:r>
        <w:rPr>
          <w:color w:val="000000" w:themeColor="text1"/>
        </w:rPr>
        <w:t xml:space="preserve">динений и их должностных лиц;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- осуществляет создание, подготовку и редактирование информационных, литературно – публицистических и иных материалов для последующей публикации в газете «</w:t>
      </w:r>
      <w:r>
        <w:rPr>
          <w:color w:val="000000" w:themeColor="text1"/>
        </w:rPr>
        <w:t xml:space="preserve">Парфеньевский</w:t>
      </w:r>
      <w:r>
        <w:rPr>
          <w:color w:val="000000" w:themeColor="text1"/>
        </w:rPr>
        <w:t xml:space="preserve"> вестник</w:t>
      </w:r>
      <w:r>
        <w:rPr>
          <w:color w:val="000000" w:themeColor="text1"/>
        </w:rPr>
        <w:t xml:space="preserve">»;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- осуществляет в соответствии с Федеральным законом РФ № 38 от 13.03.2006 «О рекламе» публикацию рекламы и объявлений в газете «</w:t>
      </w:r>
      <w:r>
        <w:rPr>
          <w:color w:val="000000" w:themeColor="text1"/>
        </w:rPr>
        <w:t xml:space="preserve">Парфеньевский</w:t>
      </w:r>
      <w:r>
        <w:rPr>
          <w:color w:val="000000" w:themeColor="text1"/>
        </w:rPr>
        <w:t xml:space="preserve"> вестник</w:t>
      </w:r>
      <w:r>
        <w:rPr>
          <w:color w:val="000000" w:themeColor="text1"/>
        </w:rPr>
        <w:t xml:space="preserve">»;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- осуществляет прочую рекламную и маркетинговую деятельность, проводит исследования конъюнктуры рынка и выявление общественного мнения;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-осуществляет деятельность в области фотографии;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- проводит как самостоятельные, так и совместные исследования (опросы, изучение общес</w:t>
      </w:r>
      <w:r>
        <w:rPr>
          <w:color w:val="000000" w:themeColor="text1"/>
        </w:rPr>
        <w:t xml:space="preserve">т</w:t>
      </w:r>
      <w:r>
        <w:rPr>
          <w:color w:val="000000" w:themeColor="text1"/>
        </w:rPr>
        <w:t xml:space="preserve">венного мнения, журналистские расследования и т.д.) в различных сферах общественной, полит</w:t>
      </w:r>
      <w:r>
        <w:rPr>
          <w:color w:val="000000" w:themeColor="text1"/>
        </w:rPr>
        <w:t xml:space="preserve">и</w:t>
      </w:r>
      <w:r>
        <w:rPr>
          <w:color w:val="000000" w:themeColor="text1"/>
        </w:rPr>
        <w:t xml:space="preserve">ческой и экономической жизни;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- организует семинары, выставки и другие мероприятия, способствующие достижению целей и реализации задач Учреждения;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- ведет деятельность по созданию и использованию баз данных и информационных ресурсов;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- на договорной основе оказывает информационные, консультационные и иные услуги гра</w:t>
      </w:r>
      <w:r>
        <w:rPr>
          <w:color w:val="000000" w:themeColor="text1"/>
        </w:rPr>
        <w:t xml:space="preserve">ж</w:t>
      </w:r>
      <w:r>
        <w:rPr>
          <w:color w:val="000000" w:themeColor="text1"/>
        </w:rPr>
        <w:t xml:space="preserve">данам и юридическим лицам в сфере массовой информации;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-осуществляет полиграфическую деятельность;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- осуществляет создание, размещение и сопровождение сайта в информационно-телекоммуникационной сети Интернет;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- осуществляет культурно-просветительскую деятельность, не противоречащую целям Учр</w:t>
      </w:r>
      <w:r>
        <w:rPr>
          <w:color w:val="000000" w:themeColor="text1"/>
        </w:rPr>
        <w:t xml:space="preserve">е</w:t>
      </w:r>
      <w:r>
        <w:rPr>
          <w:color w:val="000000" w:themeColor="text1"/>
        </w:rPr>
        <w:t xml:space="preserve">ждения;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-осуществляет копирование и распространение записанных носителей информации;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-осуществляет иную деятельность, не противоречащую целям Учреждения.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</w:rPr>
      </w:pPr>
      <w:r>
        <w:rPr>
          <w:color w:val="000000" w:themeColor="text1"/>
        </w:rPr>
      </w:r>
      <w:r>
        <w:rPr>
          <w:color w:val="000000" w:themeColor="text1"/>
        </w:rPr>
      </w:r>
      <w:r/>
    </w:p>
    <w:p>
      <w:pPr>
        <w:pStyle w:val="852"/>
        <w:ind w:firstLine="540"/>
        <w:jc w:val="center"/>
        <w:rPr>
          <w:b/>
          <w:color w:val="000000"/>
        </w:rPr>
      </w:pPr>
      <w:r>
        <w:rPr>
          <w:b/>
          <w:color w:val="000000" w:themeColor="text1"/>
        </w:rPr>
        <w:t xml:space="preserve">Проверка правильности составления сметы расходов </w:t>
      </w:r>
      <w:r>
        <w:rPr>
          <w:color w:val="000000" w:themeColor="text1"/>
        </w:rPr>
      </w:r>
      <w:r/>
    </w:p>
    <w:p>
      <w:pPr>
        <w:pStyle w:val="852"/>
        <w:ind w:firstLine="540"/>
        <w:jc w:val="center"/>
        <w:rPr>
          <w:b/>
          <w:color w:val="000000"/>
          <w:highlight w:val="none"/>
        </w:rPr>
      </w:pPr>
      <w:r>
        <w:rPr>
          <w:b/>
          <w:color w:val="000000" w:themeColor="text1"/>
        </w:rPr>
        <w:t xml:space="preserve">по средствам областного бюджета, лимиты бюджетных обязательств</w:t>
      </w:r>
      <w:r>
        <w:rPr>
          <w:color w:val="000000" w:themeColor="text1"/>
        </w:rPr>
      </w:r>
      <w:r/>
    </w:p>
    <w:p>
      <w:pPr>
        <w:pStyle w:val="852"/>
        <w:ind w:firstLine="540"/>
        <w:jc w:val="center"/>
        <w:rPr>
          <w:color w:val="000000"/>
        </w:rPr>
      </w:pPr>
      <w:r>
        <w:rPr>
          <w:b/>
          <w:color w:val="000000" w:themeColor="text1"/>
          <w:highlight w:val="none"/>
        </w:rPr>
      </w:r>
      <w:r>
        <w:rPr>
          <w:b/>
          <w:color w:val="000000" w:themeColor="text1"/>
          <w:highlight w:val="none"/>
        </w:rPr>
      </w:r>
      <w:r/>
    </w:p>
    <w:p>
      <w:pPr>
        <w:pStyle w:val="852"/>
        <w:ind w:firstLine="540"/>
        <w:jc w:val="both"/>
        <w:rPr>
          <w:b/>
          <w:color w:val="000000"/>
        </w:rPr>
      </w:pPr>
      <w:r>
        <w:rPr>
          <w:color w:val="000000" w:themeColor="text1"/>
        </w:rPr>
        <w:t xml:space="preserve">Финансирование ОГБУ «Редакция газеты «</w:t>
      </w:r>
      <w:r>
        <w:rPr>
          <w:color w:val="000000" w:themeColor="text1"/>
        </w:rPr>
        <w:t xml:space="preserve">Парфеньевский</w:t>
      </w:r>
      <w:r>
        <w:rPr>
          <w:color w:val="000000" w:themeColor="text1"/>
        </w:rPr>
        <w:t xml:space="preserve"> вестник</w:t>
      </w:r>
      <w:r>
        <w:rPr>
          <w:color w:val="000000" w:themeColor="text1"/>
        </w:rPr>
        <w:t xml:space="preserve">»  в  2020</w:t>
      </w:r>
      <w:r>
        <w:rPr>
          <w:color w:val="000000" w:themeColor="text1"/>
        </w:rPr>
        <w:t xml:space="preserve"> году осуществлялось на основ</w:t>
      </w:r>
      <w:r>
        <w:rPr>
          <w:color w:val="000000" w:themeColor="text1"/>
        </w:rPr>
        <w:t xml:space="preserve">а</w:t>
      </w:r>
      <w:r>
        <w:rPr>
          <w:color w:val="000000" w:themeColor="text1"/>
        </w:rPr>
        <w:t xml:space="preserve">нии плана финансово – хозяйственной деятельности, в форме субсидии на выполнение государс</w:t>
      </w:r>
      <w:r>
        <w:rPr>
          <w:color w:val="000000" w:themeColor="text1"/>
        </w:rPr>
        <w:t xml:space="preserve">т</w:t>
      </w:r>
      <w:r>
        <w:rPr>
          <w:color w:val="000000" w:themeColor="text1"/>
        </w:rPr>
        <w:t xml:space="preserve">ве</w:t>
      </w:r>
      <w:r>
        <w:rPr>
          <w:color w:val="000000" w:themeColor="text1"/>
        </w:rPr>
        <w:t xml:space="preserve">н</w:t>
      </w:r>
      <w:r>
        <w:rPr>
          <w:color w:val="000000" w:themeColor="text1"/>
        </w:rPr>
        <w:t xml:space="preserve">ного задания, а также по предпринимательской деятельности.</w:t>
      </w:r>
      <w:r>
        <w:rPr>
          <w:color w:val="000000" w:themeColor="text1"/>
        </w:rPr>
      </w:r>
      <w:r/>
    </w:p>
    <w:tbl>
      <w:tblPr>
        <w:tblW w:w="0" w:type="auto"/>
        <w:tblInd w:w="-185" w:type="dxa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2295"/>
        <w:gridCol w:w="1654"/>
        <w:gridCol w:w="1968"/>
        <w:gridCol w:w="1968"/>
        <w:gridCol w:w="2338"/>
      </w:tblGrid>
      <w:tr>
        <w:trPr>
          <w:cantSplit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295" w:type="dxa"/>
            <w:vAlign w:val="top"/>
            <w:vMerge w:val="restart"/>
            <w:textDirection w:val="lrTb"/>
            <w:noWrap w:val="false"/>
          </w:tcPr>
          <w:p>
            <w:pPr>
              <w:pStyle w:val="852"/>
              <w:jc w:val="center"/>
              <w:rPr>
                <w:b/>
                <w:color w:val="000000"/>
              </w:rPr>
            </w:pPr>
            <w:r>
              <w:rPr>
                <w:b/>
                <w:color w:val="000000" w:themeColor="text1"/>
              </w:rPr>
              <w:t xml:space="preserve">Аналитика</w:t>
            </w:r>
            <w:r>
              <w:rPr>
                <w:color w:val="000000" w:themeColor="text1"/>
              </w:rPr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3622" w:type="dxa"/>
            <w:vAlign w:val="top"/>
            <w:textDirection w:val="lrTb"/>
            <w:noWrap w:val="false"/>
          </w:tcPr>
          <w:p>
            <w:pPr>
              <w:pStyle w:val="852"/>
              <w:jc w:val="center"/>
              <w:rPr>
                <w:b/>
                <w:color w:val="000000"/>
              </w:rPr>
            </w:pPr>
            <w:r>
              <w:rPr>
                <w:b/>
                <w:color w:val="000000" w:themeColor="text1"/>
              </w:rPr>
              <w:t xml:space="preserve">Доходы</w:t>
            </w:r>
            <w:r>
              <w:rPr>
                <w:color w:val="000000" w:themeColor="text1"/>
              </w:rPr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4306" w:type="dxa"/>
            <w:vAlign w:val="top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b/>
                <w:color w:val="000000" w:themeColor="text1"/>
              </w:rPr>
              <w:t xml:space="preserve">Расходы</w:t>
            </w:r>
            <w:r>
              <w:rPr>
                <w:color w:val="000000" w:themeColor="text1"/>
              </w:rPr>
            </w:r>
            <w:r/>
          </w:p>
        </w:tc>
      </w:tr>
      <w:tr>
        <w:trPr>
          <w:cantSplit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295" w:type="dxa"/>
            <w:vAlign w:val="top"/>
            <w:vMerge w:val="continue"/>
            <w:textDirection w:val="lrTb"/>
            <w:noWrap w:val="false"/>
          </w:tcPr>
          <w:p>
            <w:pPr>
              <w:pStyle w:val="852"/>
              <w:jc w:val="center"/>
              <w:rPr>
                <w:b/>
              </w:rPr>
            </w:pPr>
            <w:r>
              <w:rPr>
                <w:b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pStyle w:val="852"/>
              <w:jc w:val="center"/>
              <w:rPr>
                <w:b/>
                <w:color w:val="000000"/>
              </w:rPr>
            </w:pPr>
            <w:r>
              <w:rPr>
                <w:b/>
                <w:color w:val="000000" w:themeColor="text1"/>
              </w:rPr>
              <w:t xml:space="preserve">План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pStyle w:val="852"/>
              <w:jc w:val="center"/>
              <w:rPr>
                <w:b/>
                <w:color w:val="000000"/>
              </w:rPr>
            </w:pPr>
            <w:r>
              <w:rPr>
                <w:b/>
                <w:color w:val="000000" w:themeColor="text1"/>
              </w:rPr>
              <w:t xml:space="preserve">Кассовое </w:t>
            </w:r>
            <w:r>
              <w:rPr>
                <w:color w:val="000000" w:themeColor="text1"/>
              </w:rPr>
            </w:r>
            <w:r/>
          </w:p>
          <w:p>
            <w:pPr>
              <w:pStyle w:val="852"/>
              <w:jc w:val="center"/>
              <w:rPr>
                <w:b/>
                <w:color w:val="000000"/>
              </w:rPr>
            </w:pPr>
            <w:r>
              <w:rPr>
                <w:b/>
                <w:color w:val="000000" w:themeColor="text1"/>
              </w:rPr>
              <w:t xml:space="preserve">исполнение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pStyle w:val="852"/>
              <w:jc w:val="center"/>
              <w:rPr>
                <w:b/>
                <w:color w:val="000000"/>
              </w:rPr>
            </w:pPr>
            <w:r>
              <w:rPr>
                <w:b/>
                <w:color w:val="000000" w:themeColor="text1"/>
              </w:rPr>
              <w:t xml:space="preserve">План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pStyle w:val="852"/>
              <w:jc w:val="center"/>
              <w:rPr>
                <w:b/>
                <w:color w:val="000000"/>
              </w:rPr>
            </w:pPr>
            <w:r>
              <w:rPr>
                <w:b/>
                <w:color w:val="000000" w:themeColor="text1"/>
              </w:rPr>
              <w:t xml:space="preserve">Кассовое </w:t>
            </w:r>
            <w:r>
              <w:rPr>
                <w:color w:val="000000" w:themeColor="text1"/>
              </w:rPr>
            </w:r>
            <w:r/>
          </w:p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b/>
                <w:color w:val="000000" w:themeColor="text1"/>
              </w:rPr>
              <w:t xml:space="preserve">исполнение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gridSpan w:val="5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0223" w:type="dxa"/>
            <w:vAlign w:val="top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b/>
                <w:color w:val="000000" w:themeColor="text1"/>
              </w:rPr>
              <w:t xml:space="preserve">ТС 100103 (Субсидия на выполнение государственного задания)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130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2 609 800,00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2 609 800,00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510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16 645,66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16 645,66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/>
          </w:p>
        </w:tc>
      </w:tr>
      <w:tr>
        <w:trPr>
          <w:trHeight w:val="210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211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  <w:t xml:space="preserve">1  902 191,92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1 886 522,04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213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574 461,96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569 219,27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266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7 020,38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5 866,92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226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104 764,28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104 764,27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346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38 007,12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38 007,12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852"/>
              <w:jc w:val="center"/>
              <w:rPr>
                <w:b/>
                <w:bCs/>
                <w:color w:val="000000"/>
              </w:rPr>
            </w:pPr>
            <w:r>
              <w:rPr>
                <w:b/>
                <w:color w:val="000000" w:themeColor="text1"/>
              </w:rPr>
              <w:t xml:space="preserve">Итого по ТС 100103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 w:themeColor="text1"/>
              </w:rPr>
              <w:t xml:space="preserve">2 626 445,66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 w:themeColor="text1"/>
              </w:rPr>
              <w:t xml:space="preserve">2 626 445,66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 w:themeColor="text1"/>
              </w:rPr>
              <w:t xml:space="preserve">2 626 445,66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 w:themeColor="text1"/>
              </w:rPr>
              <w:t xml:space="preserve">2 604 379,62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gridSpan w:val="5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0223" w:type="dxa"/>
            <w:vAlign w:val="top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b/>
                <w:color w:val="000000" w:themeColor="text1"/>
              </w:rPr>
              <w:t xml:space="preserve">ТС 100203 (Предпринимательская деятельность)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130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710 000,00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717 946,00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295" w:type="dxa"/>
            <w:vAlign w:val="top"/>
            <w:vMerge w:val="restart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180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54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25 000,00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0,00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440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495 000,00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497 766,49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510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20 461,36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0,00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211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221 251,08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220 203,41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295" w:type="dxa"/>
            <w:vAlign w:val="top"/>
            <w:vMerge w:val="restart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212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54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1 717,54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0,00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266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3 142,16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0,00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213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66 517,21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66 501,42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221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62 833,25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62 707,96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222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30 728,47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30 457,00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223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88 597,46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83 120,97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224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618,85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0,00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225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15 080,44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14 450,00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226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508 593,55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502 784,62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295" w:type="dxa"/>
            <w:vAlign w:val="top"/>
            <w:vMerge w:val="restart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227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54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0,00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0,00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290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5 157,79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1 883,11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310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0,00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0,00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343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0,00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0,00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346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246 223,56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243 899,26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852"/>
              <w:jc w:val="center"/>
              <w:rPr>
                <w:b/>
                <w:bCs/>
                <w:color w:val="000000"/>
              </w:rPr>
            </w:pPr>
            <w:r>
              <w:rPr>
                <w:b/>
                <w:color w:val="000000" w:themeColor="text1"/>
              </w:rPr>
              <w:t xml:space="preserve">Итого по ТС 100203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 w:themeColor="text1"/>
              </w:rPr>
              <w:t xml:space="preserve">1 250 461,36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 w:themeColor="text1"/>
              </w:rPr>
              <w:t xml:space="preserve">1 2150712,49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 w:themeColor="text1"/>
              </w:rPr>
              <w:t xml:space="preserve">1 250 461,36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 w:themeColor="text1"/>
              </w:rPr>
              <w:t xml:space="preserve">1 226 007,75</w:t>
            </w:r>
            <w:r>
              <w:rPr>
                <w:color w:val="000000" w:themeColor="text1"/>
              </w:rPr>
            </w:r>
            <w:r/>
          </w:p>
        </w:tc>
      </w:tr>
    </w:tbl>
    <w:p>
      <w:pPr>
        <w:pStyle w:val="852"/>
        <w:ind w:firstLine="709"/>
        <w:jc w:val="both"/>
        <w:rPr>
          <w:color w:val="000000"/>
        </w:rPr>
      </w:pPr>
      <w:r>
        <w:rPr>
          <w:color w:val="000000" w:themeColor="text1"/>
        </w:rPr>
      </w:r>
      <w:r>
        <w:rPr>
          <w:color w:val="000000" w:themeColor="text1"/>
        </w:rPr>
      </w:r>
      <w:r/>
    </w:p>
    <w:p>
      <w:pPr>
        <w:pStyle w:val="852"/>
        <w:ind w:firstLine="540"/>
        <w:jc w:val="center"/>
        <w:spacing w:lineRule="auto" w:line="276"/>
        <w:shd w:val="clear" w:fill="FFFFFF" w:color="FFFFFF"/>
        <w:rPr>
          <w:b/>
          <w:color w:val="000000"/>
          <w:highlight w:val="none"/>
        </w:rPr>
      </w:pPr>
      <w:r>
        <w:rPr>
          <w:b/>
          <w:color w:val="000000" w:themeColor="text1"/>
        </w:rPr>
        <w:t xml:space="preserve">Учетная политика Учреждения</w:t>
      </w:r>
      <w:r>
        <w:rPr>
          <w:color w:val="000000" w:themeColor="text1"/>
        </w:rPr>
      </w:r>
      <w:r/>
    </w:p>
    <w:p>
      <w:pPr>
        <w:pStyle w:val="852"/>
        <w:ind w:firstLine="540"/>
        <w:jc w:val="center"/>
        <w:spacing w:lineRule="auto" w:line="276"/>
        <w:shd w:val="clear" w:fill="FFFFFF" w:color="FFFFFF"/>
        <w:rPr>
          <w:b/>
          <w:color w:val="000000"/>
        </w:rPr>
      </w:pPr>
      <w:r>
        <w:rPr>
          <w:b/>
          <w:color w:val="000000" w:themeColor="text1"/>
          <w:highlight w:val="none"/>
        </w:rPr>
      </w:r>
      <w:r>
        <w:rPr>
          <w:b/>
          <w:color w:val="000000" w:themeColor="text1"/>
          <w:highlight w:val="none"/>
        </w:rPr>
      </w:r>
      <w:r/>
    </w:p>
    <w:p>
      <w:pPr>
        <w:pStyle w:val="852"/>
        <w:ind w:firstLine="540"/>
        <w:jc w:val="both"/>
        <w:shd w:val="clear" w:fill="FFFFFF" w:color="FFFFFF"/>
        <w:rPr>
          <w:color w:val="000000"/>
        </w:rPr>
      </w:pPr>
      <w:r>
        <w:rPr>
          <w:color w:val="000000" w:themeColor="text1"/>
        </w:rPr>
        <w:t xml:space="preserve">В нарушение </w:t>
      </w: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"consultantplus://offline/ref=E8D0AD034381026843D6BD3486D91B1300329E33C5DCE279F6B3F29B927489AD5202F1A97C40F1EE5720CBA635D2B706D06443D2365E2A11ODX7M"</w:instrText>
      </w:r>
      <w:r>
        <w:rPr>
          <w:color w:val="000000" w:themeColor="text1"/>
        </w:rPr>
        <w:fldChar w:fldCharType="separate"/>
      </w:r>
      <w:r>
        <w:rPr>
          <w:rStyle w:val="916"/>
          <w:color w:val="000000" w:themeColor="text1"/>
        </w:rPr>
        <w:t xml:space="preserve">пунктов 6</w:t>
      </w:r>
      <w:r>
        <w:rPr>
          <w:color w:val="000000" w:themeColor="text1"/>
        </w:rPr>
        <w:fldChar w:fldCharType="end"/>
      </w:r>
      <w:r>
        <w:rPr>
          <w:color w:val="000000" w:themeColor="text1"/>
        </w:rPr>
        <w:t xml:space="preserve">, 302.1 Инструкции по применению Единого </w:t>
      </w: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"consultantplus://offline/ref=58270717226EDAB794BC36B28A3E69392382DDB826C230B63EDA1A3E60158058FED344D367DCEF01F53EF20BBDD878F3304515B824D4F8F0z0YDM"</w:instrText>
      </w:r>
      <w:r>
        <w:rPr>
          <w:color w:val="000000" w:themeColor="text1"/>
        </w:rPr>
        <w:fldChar w:fldCharType="separate"/>
      </w:r>
      <w:r>
        <w:rPr>
          <w:rStyle w:val="916"/>
          <w:color w:val="000000" w:themeColor="text1"/>
        </w:rPr>
        <w:t xml:space="preserve">плана</w:t>
      </w:r>
      <w:r>
        <w:rPr>
          <w:color w:val="000000" w:themeColor="text1"/>
        </w:rPr>
        <w:fldChar w:fldCharType="end"/>
      </w:r>
      <w:r>
        <w:rPr>
          <w:color w:val="000000" w:themeColor="text1"/>
        </w:rPr>
        <w:t xml:space="preserve"> счетов бухгалте</w:t>
      </w:r>
      <w:r>
        <w:rPr>
          <w:color w:val="000000" w:themeColor="text1"/>
        </w:rPr>
        <w:t xml:space="preserve">р</w:t>
      </w:r>
      <w:r>
        <w:rPr>
          <w:color w:val="000000" w:themeColor="text1"/>
        </w:rPr>
        <w:t xml:space="preserve">ского учёта для органов государственной власти (государственных органов), органов местного с</w:t>
      </w:r>
      <w:r>
        <w:rPr>
          <w:color w:val="000000" w:themeColor="text1"/>
        </w:rPr>
        <w:t xml:space="preserve">а</w:t>
      </w:r>
      <w:r>
        <w:rPr>
          <w:color w:val="000000" w:themeColor="text1"/>
        </w:rPr>
        <w:t xml:space="preserve">моуправления, органов управления государственными внебюджетными фондами, государстве</w:t>
      </w:r>
      <w:r>
        <w:rPr>
          <w:color w:val="000000" w:themeColor="text1"/>
        </w:rPr>
        <w:t xml:space="preserve">н</w:t>
      </w:r>
      <w:r>
        <w:rPr>
          <w:color w:val="000000" w:themeColor="text1"/>
        </w:rPr>
        <w:t xml:space="preserve">ных академий наук, государственных (муниципальных) учреждений, утверждённой приказом Минфина России от 01.12.2010 года №157н  (далее по тексту – Инструкция №157н) актами «У</w:t>
      </w:r>
      <w:r>
        <w:rPr>
          <w:color w:val="000000" w:themeColor="text1"/>
        </w:rPr>
        <w:t xml:space="preserve">ч</w:t>
      </w:r>
      <w:r>
        <w:rPr>
          <w:color w:val="000000" w:themeColor="text1"/>
        </w:rPr>
        <w:t xml:space="preserve">реждени</w:t>
      </w:r>
      <w:r>
        <w:rPr>
          <w:color w:val="000000" w:themeColor="text1"/>
        </w:rPr>
        <w:t xml:space="preserve">я</w:t>
      </w:r>
      <w:r>
        <w:rPr>
          <w:i/>
          <w:color w:val="000000" w:themeColor="text1"/>
        </w:rPr>
        <w:t xml:space="preserve">» </w:t>
      </w:r>
      <w:r>
        <w:rPr>
          <w:color w:val="000000" w:themeColor="text1"/>
        </w:rPr>
        <w:t xml:space="preserve">не утвержде</w:t>
      </w:r>
      <w:r>
        <w:rPr>
          <w:color w:val="000000" w:themeColor="text1"/>
        </w:rPr>
        <w:t xml:space="preserve">ны</w:t>
      </w:r>
      <w:r>
        <w:rPr>
          <w:color w:val="000000" w:themeColor="text1"/>
        </w:rPr>
        <w:t xml:space="preserve"> в</w:t>
      </w:r>
      <w:r>
        <w:rPr>
          <w:color w:val="000000" w:themeColor="text1"/>
        </w:rPr>
        <w:t xml:space="preserve"> Приказе редакции от 24.12.2019</w:t>
      </w:r>
      <w:r>
        <w:rPr>
          <w:color w:val="000000" w:themeColor="text1"/>
        </w:rPr>
        <w:t xml:space="preserve"> № 64</w:t>
      </w:r>
      <w:r>
        <w:rPr>
          <w:color w:val="000000" w:themeColor="text1"/>
        </w:rPr>
        <w:t xml:space="preserve"> «Об учетной п</w:t>
      </w:r>
      <w:r>
        <w:rPr>
          <w:color w:val="000000" w:themeColor="text1"/>
        </w:rPr>
        <w:t xml:space="preserve">о</w:t>
      </w:r>
      <w:r>
        <w:rPr>
          <w:color w:val="000000" w:themeColor="text1"/>
        </w:rPr>
        <w:t xml:space="preserve">литике»</w:t>
      </w:r>
      <w:r>
        <w:rPr>
          <w:color w:val="000000" w:themeColor="text1"/>
        </w:rPr>
        <w:t xml:space="preserve">: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shd w:val="clear" w:fill="FFFFFF" w:color="FFFFFF"/>
        <w:rPr>
          <w:color w:val="000000"/>
        </w:rPr>
      </w:pPr>
      <w:r>
        <w:rPr>
          <w:color w:val="000000" w:themeColor="text1"/>
        </w:rPr>
        <w:t xml:space="preserve">- порядок проведения инвентаризации обязательств, материальных запасов, имущества, уч</w:t>
      </w:r>
      <w:r>
        <w:rPr>
          <w:color w:val="000000" w:themeColor="text1"/>
        </w:rPr>
        <w:t xml:space="preserve">и</w:t>
      </w:r>
      <w:r>
        <w:rPr>
          <w:color w:val="000000" w:themeColor="text1"/>
        </w:rPr>
        <w:t xml:space="preserve">тываемого на забалансовых счетах;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shd w:val="clear" w:fill="FFFFFF" w:color="FFFFFF"/>
        <w:rPr>
          <w:iCs/>
          <w:color w:val="000000"/>
        </w:rPr>
      </w:pPr>
      <w:r>
        <w:rPr>
          <w:color w:val="000000" w:themeColor="text1"/>
        </w:rPr>
        <w:t xml:space="preserve">- методы оценки отдельных видов имущества (имущество на забалансовых счетах);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shd w:val="clear" w:fill="FFFFFF" w:color="FFFFFF"/>
        <w:rPr>
          <w:color w:val="000000"/>
        </w:rPr>
      </w:pPr>
      <w:r>
        <w:rPr>
          <w:iCs/>
          <w:color w:val="000000" w:themeColor="text1"/>
        </w:rPr>
        <w:t xml:space="preserve">- порядок формирования резерва предстоящей оплаты отпусков за фактически отработанное время или компенсаций за неиспользованный отпуск, в том числе при увольнении, включая пл</w:t>
      </w:r>
      <w:r>
        <w:rPr>
          <w:iCs/>
          <w:color w:val="000000" w:themeColor="text1"/>
        </w:rPr>
        <w:t xml:space="preserve">а</w:t>
      </w:r>
      <w:r>
        <w:rPr>
          <w:iCs/>
          <w:color w:val="000000" w:themeColor="text1"/>
        </w:rPr>
        <w:t xml:space="preserve">тежи на обязательное социальное страхование сотрудника (служащего) учреждения.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shd w:val="clear" w:fill="FFFFFF" w:color="FFFFFF"/>
        <w:rPr>
          <w:color w:val="000000"/>
          <w:highlight w:val="none"/>
        </w:rPr>
      </w:pPr>
      <w:r>
        <w:rPr>
          <w:color w:val="000000" w:themeColor="text1"/>
        </w:rPr>
        <w:t xml:space="preserve">Следует отметить, что в связи с  принятием с 01.01.2018 года федеральных стандартов бу</w:t>
      </w:r>
      <w:r>
        <w:rPr>
          <w:color w:val="000000" w:themeColor="text1"/>
        </w:rPr>
        <w:t xml:space="preserve">х</w:t>
      </w:r>
      <w:r>
        <w:rPr>
          <w:color w:val="000000" w:themeColor="text1"/>
        </w:rPr>
        <w:t xml:space="preserve">галтерского учёта учреждениям при отражении операций финансово-хозяйственной деятельности необходимо внести изменения в учётную политику, определяющие правила и особенности учёта в соответствии с новыми требованиями.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shd w:val="clear" w:fill="FFFFFF" w:color="FFFFFF"/>
        <w:rPr>
          <w:b/>
          <w:i/>
          <w:color w:val="000000"/>
        </w:rPr>
      </w:pPr>
      <w:r>
        <w:rPr>
          <w:color w:val="000000" w:themeColor="text1"/>
          <w:highlight w:val="none"/>
        </w:rPr>
        <w:t xml:space="preserve"> Также в приложении №3  </w:t>
      </w:r>
      <w:r>
        <w:rPr>
          <w:color w:val="000000" w:themeColor="text1"/>
        </w:rPr>
        <w:t xml:space="preserve">Приказа редакции от 24.12.2019</w:t>
      </w:r>
      <w:r>
        <w:rPr>
          <w:color w:val="000000" w:themeColor="text1"/>
        </w:rPr>
        <w:t xml:space="preserve"> № 64</w:t>
      </w:r>
      <w:r>
        <w:rPr>
          <w:color w:val="000000" w:themeColor="text1"/>
        </w:rPr>
        <w:t xml:space="preserve"> «Об учетной п</w:t>
      </w:r>
      <w:r>
        <w:rPr>
          <w:color w:val="000000" w:themeColor="text1"/>
        </w:rPr>
        <w:t xml:space="preserve">о</w:t>
      </w:r>
      <w:r>
        <w:rPr>
          <w:color w:val="000000" w:themeColor="text1"/>
        </w:rPr>
        <w:t xml:space="preserve">литике» указаны лица, которые уже в связи с кадровыми изменениями, не работают в учреждении</w:t>
      </w:r>
      <w:r>
        <w:rPr>
          <w:color w:val="000000" w:themeColor="text1"/>
        </w:rPr>
        <w:t xml:space="preserve">:</w:t>
      </w:r>
      <w:r>
        <w:rPr>
          <w:color w:val="000000" w:themeColor="text1"/>
          <w:highlight w:val="none"/>
        </w:rPr>
      </w:r>
      <w:r/>
    </w:p>
    <w:p>
      <w:pPr>
        <w:pStyle w:val="852"/>
        <w:ind w:firstLine="708"/>
        <w:jc w:val="both"/>
        <w:rPr>
          <w:b/>
          <w:i/>
          <w:color w:val="000000"/>
          <w:highlight w:val="none"/>
        </w:rPr>
      </w:pPr>
      <w:r>
        <w:rPr>
          <w:b/>
          <w:i/>
          <w:color w:val="000000" w:themeColor="text1"/>
        </w:rPr>
        <w:t xml:space="preserve">Рекомендуем внести соответствующие изменения </w:t>
      </w:r>
      <w:r>
        <w:rPr>
          <w:b/>
          <w:i/>
          <w:color w:val="000000" w:themeColor="text1"/>
        </w:rPr>
        <w:t xml:space="preserve">и дополнения к учетной политике</w:t>
      </w:r>
      <w:r>
        <w:rPr>
          <w:b/>
          <w:i/>
          <w:color w:val="000000" w:themeColor="text1"/>
        </w:rPr>
        <w:t xml:space="preserve">, оформив приказы учреждения.</w:t>
      </w:r>
      <w:r>
        <w:rPr>
          <w:b/>
          <w:i/>
          <w:color w:val="000000" w:themeColor="text1"/>
        </w:rPr>
      </w:r>
      <w:r/>
    </w:p>
    <w:p>
      <w:pPr>
        <w:pStyle w:val="852"/>
        <w:ind w:firstLine="708"/>
        <w:jc w:val="both"/>
        <w:rPr>
          <w:b/>
          <w:i/>
          <w:color w:val="000000"/>
          <w:highlight w:val="none"/>
        </w:rPr>
      </w:pP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  <w:r/>
    </w:p>
    <w:p>
      <w:pPr>
        <w:pStyle w:val="852"/>
        <w:jc w:val="center"/>
        <w:rPr>
          <w:b/>
          <w:color w:val="000000"/>
          <w:highlight w:val="none"/>
        </w:rPr>
      </w:pPr>
      <w:r>
        <w:rPr>
          <w:b/>
          <w:color w:val="000000" w:themeColor="text1"/>
        </w:rPr>
        <w:t xml:space="preserve">Проверка правильности ведения кассовых операций</w:t>
      </w:r>
      <w:r>
        <w:rPr>
          <w:color w:val="000000" w:themeColor="text1"/>
        </w:rPr>
      </w:r>
      <w:r/>
    </w:p>
    <w:p>
      <w:pPr>
        <w:pStyle w:val="852"/>
        <w:jc w:val="center"/>
        <w:rPr>
          <w:color w:val="000000"/>
        </w:rPr>
      </w:pPr>
      <w:r>
        <w:rPr>
          <w:b/>
          <w:color w:val="000000" w:themeColor="text1"/>
          <w:highlight w:val="none"/>
        </w:rPr>
      </w:r>
      <w:r>
        <w:rPr>
          <w:b/>
          <w:color w:val="000000" w:themeColor="text1"/>
          <w:highlight w:val="none"/>
        </w:rPr>
      </w:r>
      <w:r/>
    </w:p>
    <w:p>
      <w:pPr>
        <w:pStyle w:val="85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Учет кассовых операций регламентируется: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- Федеральным законом  от 06.12.2011 № 402- ФЗ «О бухгалтерском учете»;</w:t>
      </w:r>
      <w:r>
        <w:rPr>
          <w:color w:val="000000" w:themeColor="text1"/>
        </w:rPr>
      </w:r>
      <w:r/>
    </w:p>
    <w:p>
      <w:pPr>
        <w:pStyle w:val="852"/>
        <w:numPr>
          <w:ilvl w:val="0"/>
          <w:numId w:val="1"/>
        </w:numPr>
        <w:ind w:left="0" w:firstLine="540"/>
        <w:jc w:val="both"/>
        <w:rPr>
          <w:color w:val="000000"/>
        </w:rPr>
      </w:pPr>
      <w:r>
        <w:rPr>
          <w:color w:val="000000" w:themeColor="text1"/>
        </w:rPr>
        <w:t xml:space="preserve">«Порядком ведения кассовых операций в Российской Федерации», утвержденным решением Совета Директоров Центрального Банка России от 22.09.1993 г. № 40;</w:t>
      </w:r>
      <w:r>
        <w:rPr>
          <w:color w:val="000000" w:themeColor="text1"/>
        </w:rPr>
      </w:r>
      <w:r/>
    </w:p>
    <w:p>
      <w:pPr>
        <w:pStyle w:val="852"/>
        <w:numPr>
          <w:ilvl w:val="0"/>
          <w:numId w:val="1"/>
        </w:numPr>
        <w:jc w:val="both"/>
        <w:rPr>
          <w:color w:val="000000"/>
        </w:rPr>
      </w:pPr>
      <w:r>
        <w:rPr>
          <w:color w:val="000000" w:themeColor="text1"/>
        </w:rPr>
        <w:t xml:space="preserve">Положением о порядке ведения кассовых операций с банкнотами и монетой Банка России на территории РФ от 12.10.11 № 373-П.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Проверка кассовых операций проведена за период с 01.01.2020</w:t>
      </w:r>
      <w:r>
        <w:rPr>
          <w:color w:val="000000" w:themeColor="text1"/>
        </w:rPr>
        <w:t xml:space="preserve"> по 31.12.2020</w:t>
      </w:r>
      <w:r>
        <w:rPr>
          <w:color w:val="000000" w:themeColor="text1"/>
        </w:rPr>
        <w:t xml:space="preserve"> г. Проверены: кассовая книга, приходные и расходные кассовые ордера с приложенными к ним оправдательны</w:t>
      </w:r>
      <w:r>
        <w:rPr>
          <w:color w:val="000000" w:themeColor="text1"/>
        </w:rPr>
        <w:t xml:space="preserve">ми документами, платежные ведомости, журнал – операций  №  1 по счету «Касса». Для обобщения информации о наличии и движении денежных средств в учреждении ведется счет 201.04 «Касса», кассовые операции отражаются в журнале – операций № 1 по счету «Касса». 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Лимит кассы утвержден приказом №</w:t>
      </w:r>
      <w:r>
        <w:rPr>
          <w:color w:val="000000" w:themeColor="text1"/>
        </w:rPr>
        <w:t xml:space="preserve"> 1 от 09.01.2020</w:t>
      </w:r>
      <w:r>
        <w:rPr>
          <w:color w:val="000000" w:themeColor="text1"/>
        </w:rPr>
        <w:t xml:space="preserve">г., установлен в сум</w:t>
      </w:r>
      <w:r>
        <w:rPr>
          <w:color w:val="000000" w:themeColor="text1"/>
        </w:rPr>
        <w:t xml:space="preserve">ме 1219</w:t>
      </w:r>
      <w:r>
        <w:rPr>
          <w:color w:val="000000" w:themeColor="text1"/>
        </w:rPr>
        <w:t xml:space="preserve">,00 (одна тысяча двести девятнадцать</w:t>
      </w:r>
      <w:r>
        <w:rPr>
          <w:color w:val="000000" w:themeColor="text1"/>
        </w:rPr>
        <w:t xml:space="preserve">) рубл</w:t>
      </w:r>
      <w:r>
        <w:rPr>
          <w:color w:val="000000" w:themeColor="text1"/>
        </w:rPr>
        <w:t xml:space="preserve">ей 00 копеек и в течение проверяемого периода не нарушался.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В ходе пров</w:t>
      </w:r>
      <w:r>
        <w:rPr>
          <w:color w:val="000000" w:themeColor="text1"/>
        </w:rPr>
        <w:t xml:space="preserve">ерки установлено </w:t>
      </w:r>
      <w:r>
        <w:rPr>
          <w:color w:val="000000" w:themeColor="text1"/>
        </w:rPr>
        <w:t xml:space="preserve">нарушение ст.9 Федерального Закона от 06.12.2011 № 402-ФЗ « О бухгалтерском учете» при оприходовании наличных денежных средств в кассу от физического лица в приходных кассовых ордерах в графе «Принято от» должно указываться Ф.И.О. физическ</w:t>
      </w:r>
      <w:r>
        <w:rPr>
          <w:color w:val="000000" w:themeColor="text1"/>
        </w:rPr>
        <w:t xml:space="preserve">о</w:t>
      </w:r>
      <w:r>
        <w:rPr>
          <w:color w:val="000000" w:themeColor="text1"/>
        </w:rPr>
        <w:t xml:space="preserve">го лица, от которого приняты денежные средства. На протяжении всего проверяемого периода в ОГБУ «Редакция газеты «Парфеньевский вестник</w:t>
      </w:r>
      <w:r>
        <w:rPr>
          <w:color w:val="000000" w:themeColor="text1"/>
        </w:rPr>
        <w:t xml:space="preserve">» в вышеуказанной графе заполнено «население», напр</w:t>
      </w:r>
      <w:r>
        <w:rPr>
          <w:color w:val="000000" w:themeColor="text1"/>
        </w:rPr>
        <w:t xml:space="preserve">и</w:t>
      </w:r>
      <w:r>
        <w:rPr>
          <w:color w:val="000000" w:themeColor="text1"/>
        </w:rPr>
        <w:t xml:space="preserve">мер: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-ПКО № 45 от 01.12.2020</w:t>
      </w:r>
      <w:r>
        <w:rPr>
          <w:color w:val="000000" w:themeColor="text1"/>
        </w:rPr>
        <w:t xml:space="preserve"> на сумму 9 000</w:t>
      </w:r>
      <w:r>
        <w:rPr>
          <w:color w:val="000000" w:themeColor="text1"/>
        </w:rPr>
        <w:t xml:space="preserve"> руб. (Д-т 20</w:t>
      </w:r>
      <w:r>
        <w:rPr>
          <w:color w:val="000000" w:themeColor="text1"/>
        </w:rPr>
        <w:t xml:space="preserve">1.34</w:t>
      </w:r>
      <w:r>
        <w:rPr>
          <w:color w:val="000000" w:themeColor="text1"/>
        </w:rPr>
        <w:t xml:space="preserve"> К-т 205.74);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-</w:t>
      </w:r>
      <w:r>
        <w:rPr>
          <w:color w:val="000000" w:themeColor="text1"/>
        </w:rPr>
        <w:t xml:space="preserve">ПКО № 1 от 21.01</w:t>
      </w:r>
      <w:r>
        <w:rPr>
          <w:color w:val="000000" w:themeColor="text1"/>
        </w:rPr>
        <w:t xml:space="preserve">.2020</w:t>
      </w:r>
      <w:r>
        <w:rPr>
          <w:color w:val="000000" w:themeColor="text1"/>
        </w:rPr>
        <w:t xml:space="preserve"> на сумму 10 920</w:t>
      </w:r>
      <w:r>
        <w:rPr>
          <w:color w:val="000000" w:themeColor="text1"/>
        </w:rPr>
        <w:t xml:space="preserve"> руб. (Д-т 201.34 К-т 205.74);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-</w:t>
      </w:r>
      <w:r>
        <w:rPr>
          <w:color w:val="000000" w:themeColor="text1"/>
        </w:rPr>
        <w:t xml:space="preserve">ПКО № 19 от 27.05.2020 на сумму 13 430 руб. (Д-т 201.34 К-т 205.74);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-</w:t>
      </w:r>
      <w:r>
        <w:rPr>
          <w:color w:val="000000" w:themeColor="text1"/>
        </w:rPr>
        <w:t xml:space="preserve">ПКО № 20 от 08.06.2020 на сумму 16 000 руб. (Д-т 201.34 К-т 205.74)</w:t>
      </w:r>
      <w:r>
        <w:rPr>
          <w:color w:val="000000" w:themeColor="text1"/>
        </w:rPr>
        <w:t xml:space="preserve">;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-ПКО № 30 от 09.07.2020 на сумму 24 000 руб. (Д-т 201.34 К-т 205.74);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  <w:highlight w:val="none"/>
        </w:rPr>
      </w:pPr>
      <w:r>
        <w:rPr>
          <w:color w:val="000000" w:themeColor="text1"/>
        </w:rPr>
        <w:t xml:space="preserve">-ПКО № 37 от 17.09.2020 на сумму 13 050 руб. (Д-т 201.34 К-т 205.74);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  <w:highlight w:val="none"/>
        </w:rPr>
      </w:pPr>
      <w:r>
        <w:rPr>
          <w:color w:val="000000" w:themeColor="text1"/>
        </w:rPr>
        <w:t xml:space="preserve">-ПКО № 42 от 13.11.2020 на сумму 24 500 руб. (Д-т 201.34 К-т 205.74);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  <w:highlight w:val="none"/>
        </w:rPr>
      </w:pPr>
      <w:r>
        <w:rPr>
          <w:color w:val="000000" w:themeColor="text1"/>
        </w:rPr>
        <w:t xml:space="preserve">-ПКО № 45 от 01.12.2020 на сумму 9 000 руб. (Д-т 201.34 К-т 205.74);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</w:rPr>
      </w:pPr>
      <w:r>
        <w:rPr>
          <w:b/>
          <w:i/>
          <w:color w:val="000000" w:themeColor="text1"/>
        </w:rPr>
        <w:t xml:space="preserve">Данное нарушение документального оформления первичных кассовых документов не обе</w:t>
      </w:r>
      <w:r>
        <w:rPr>
          <w:b/>
          <w:i/>
          <w:color w:val="000000" w:themeColor="text1"/>
        </w:rPr>
        <w:t xml:space="preserve">с</w:t>
      </w:r>
      <w:r>
        <w:rPr>
          <w:b/>
          <w:i/>
          <w:color w:val="000000" w:themeColor="text1"/>
        </w:rPr>
        <w:t xml:space="preserve">печивает прозрачность бухгалтерского учета в части учета дохо</w:t>
      </w:r>
      <w:r>
        <w:rPr>
          <w:b/>
          <w:i/>
          <w:color w:val="000000" w:themeColor="text1"/>
        </w:rPr>
        <w:t xml:space="preserve">дов учреждения.</w:t>
      </w:r>
      <w:r>
        <w:rPr>
          <w:b/>
          <w:i/>
          <w:color w:val="000000" w:themeColor="text1"/>
        </w:rPr>
        <w:t xml:space="preserve"> </w:t>
      </w:r>
      <w:r>
        <w:rPr>
          <w:b/>
          <w:i/>
          <w:color w:val="000000" w:themeColor="text1"/>
        </w:rPr>
        <w:t xml:space="preserve">Рекомендуем обеспечить прием наличных денежных средств от физических лиц в с</w:t>
      </w:r>
      <w:r>
        <w:rPr>
          <w:b/>
          <w:i/>
          <w:color w:val="000000" w:themeColor="text1"/>
        </w:rPr>
        <w:t xml:space="preserve">о</w:t>
      </w:r>
      <w:r>
        <w:rPr>
          <w:b/>
          <w:i/>
          <w:color w:val="000000" w:themeColor="text1"/>
        </w:rPr>
        <w:t xml:space="preserve">ответствии со ст.9 Федерального Закона от 06.12.2011 № 402-ФЗ.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</w:rPr>
      </w:pPr>
      <w:r>
        <w:rPr>
          <w:color w:val="000000" w:themeColor="text1"/>
        </w:rPr>
      </w:r>
      <w:r>
        <w:rPr>
          <w:color w:val="000000" w:themeColor="text1"/>
        </w:rPr>
      </w:r>
      <w:r/>
    </w:p>
    <w:p>
      <w:pPr>
        <w:pStyle w:val="852"/>
        <w:ind w:firstLine="540"/>
        <w:jc w:val="center"/>
        <w:rPr>
          <w:color w:val="000000"/>
        </w:rPr>
      </w:pPr>
      <w:r>
        <w:rPr>
          <w:b/>
          <w:color w:val="000000" w:themeColor="text1"/>
        </w:rPr>
        <w:t xml:space="preserve">Проверка операций движения денежных средств по лицевым счетам</w:t>
      </w:r>
      <w:r>
        <w:rPr>
          <w:color w:val="000000" w:themeColor="text1"/>
        </w:rPr>
      </w:r>
      <w:r/>
    </w:p>
    <w:p>
      <w:pPr>
        <w:pStyle w:val="852"/>
        <w:ind w:firstLine="540"/>
        <w:jc w:val="center"/>
        <w:rPr>
          <w:color w:val="000000"/>
        </w:rPr>
      </w:pPr>
      <w:r>
        <w:rPr>
          <w:color w:val="000000" w:themeColor="text1"/>
        </w:rPr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Проверка проведена  за период с 01.01.2020</w:t>
      </w:r>
      <w:r>
        <w:rPr>
          <w:color w:val="000000" w:themeColor="text1"/>
        </w:rPr>
        <w:t xml:space="preserve"> по 31.12.2020</w:t>
      </w:r>
      <w:r>
        <w:rPr>
          <w:color w:val="000000" w:themeColor="text1"/>
        </w:rPr>
        <w:t xml:space="preserve"> года по представленным документам: выпискам  управления казначейства департамента финансов Костромской области по лицевым счетам с приложением денежно-расчетных документов, журналам – операций.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b/>
          <w:color w:val="000000"/>
        </w:rPr>
      </w:pPr>
      <w:r>
        <w:rPr>
          <w:color w:val="000000" w:themeColor="text1"/>
        </w:rPr>
        <w:t xml:space="preserve">Для осуществления безналичных расчетов и кассового обслуживания учреждения были о</w:t>
      </w:r>
      <w:r>
        <w:rPr>
          <w:color w:val="000000" w:themeColor="text1"/>
        </w:rPr>
        <w:t xml:space="preserve">т</w:t>
      </w:r>
      <w:r>
        <w:rPr>
          <w:color w:val="000000" w:themeColor="text1"/>
        </w:rPr>
        <w:t xml:space="preserve">крыты  счета:</w:t>
      </w:r>
      <w:r>
        <w:rPr>
          <w:color w:val="000000" w:themeColor="text1"/>
        </w:rPr>
      </w:r>
      <w:r/>
    </w:p>
    <w:tbl>
      <w:tblPr>
        <w:tblW w:w="0" w:type="auto"/>
        <w:tblInd w:w="-40" w:type="dxa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801"/>
        <w:gridCol w:w="5607"/>
        <w:gridCol w:w="2421"/>
      </w:tblGrid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801" w:type="dxa"/>
            <w:vAlign w:val="top"/>
            <w:textDirection w:val="lrTb"/>
            <w:noWrap w:val="false"/>
          </w:tcPr>
          <w:p>
            <w:pPr>
              <w:pStyle w:val="852"/>
              <w:jc w:val="center"/>
              <w:rPr>
                <w:b/>
                <w:color w:val="000000"/>
              </w:rPr>
            </w:pPr>
            <w:r>
              <w:rPr>
                <w:b/>
                <w:color w:val="000000" w:themeColor="text1"/>
              </w:rPr>
              <w:t xml:space="preserve">№ п/п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5607" w:type="dxa"/>
            <w:vAlign w:val="top"/>
            <w:textDirection w:val="lrTb"/>
            <w:noWrap w:val="false"/>
          </w:tcPr>
          <w:p>
            <w:pPr>
              <w:pStyle w:val="852"/>
              <w:jc w:val="center"/>
              <w:rPr>
                <w:b/>
                <w:color w:val="000000"/>
              </w:rPr>
            </w:pPr>
            <w:r>
              <w:rPr>
                <w:b/>
                <w:color w:val="000000" w:themeColor="text1"/>
              </w:rPr>
              <w:t xml:space="preserve">Наименование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421" w:type="dxa"/>
            <w:vAlign w:val="top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b/>
                <w:color w:val="000000" w:themeColor="text1"/>
              </w:rPr>
              <w:t xml:space="preserve">№ лицевого счета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801" w:type="dxa"/>
            <w:vAlign w:val="top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1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5607" w:type="dxa"/>
            <w:vAlign w:val="top"/>
            <w:textDirection w:val="lrTb"/>
            <w:noWrap w:val="false"/>
          </w:tcPr>
          <w:p>
            <w:pPr>
              <w:pStyle w:val="852"/>
              <w:jc w:val="both"/>
              <w:rPr>
                <w:color w:val="000000"/>
              </w:rPr>
            </w:pPr>
            <w:r>
              <w:rPr>
                <w:color w:val="000000" w:themeColor="text1"/>
              </w:rPr>
              <w:t xml:space="preserve">Департамент финансов Костромской области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421" w:type="dxa"/>
            <w:vAlign w:val="top"/>
            <w:textDirection w:val="lrTb"/>
            <w:noWrap w:val="false"/>
          </w:tcPr>
          <w:p>
            <w:pPr>
              <w:pStyle w:val="941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827030154</w:t>
            </w:r>
            <w:r>
              <w:rPr>
                <w:color w:val="000000" w:themeColor="text1"/>
              </w:rPr>
            </w:r>
            <w:r/>
          </w:p>
        </w:tc>
      </w:tr>
    </w:tbl>
    <w:p>
      <w:pPr>
        <w:pStyle w:val="852"/>
        <w:ind w:firstLine="540"/>
        <w:jc w:val="both"/>
        <w:rPr>
          <w:color w:val="000000"/>
        </w:rPr>
      </w:pPr>
      <w:r>
        <w:rPr>
          <w:b/>
          <w:i/>
          <w:color w:val="000000" w:themeColor="text1"/>
        </w:rPr>
        <w:t xml:space="preserve">На данном участке учёта нарушений не  выявлено.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</w:rPr>
      </w:pPr>
      <w:r>
        <w:rPr>
          <w:color w:val="000000" w:themeColor="text1"/>
        </w:rPr>
      </w:r>
      <w:r>
        <w:rPr>
          <w:color w:val="000000" w:themeColor="text1"/>
        </w:rPr>
      </w:r>
      <w:r/>
    </w:p>
    <w:p>
      <w:pPr>
        <w:pStyle w:val="852"/>
        <w:ind w:firstLine="540"/>
        <w:jc w:val="center"/>
        <w:rPr>
          <w:color w:val="000000"/>
        </w:rPr>
      </w:pPr>
      <w:r>
        <w:rPr>
          <w:b/>
          <w:color w:val="000000" w:themeColor="text1"/>
        </w:rPr>
        <w:t xml:space="preserve">Проверка учета расчетов с подотчетными лицами</w:t>
      </w:r>
      <w:r>
        <w:rPr>
          <w:color w:val="000000" w:themeColor="text1"/>
        </w:rPr>
      </w:r>
      <w:r/>
    </w:p>
    <w:p>
      <w:pPr>
        <w:pStyle w:val="852"/>
        <w:ind w:firstLine="540"/>
        <w:jc w:val="center"/>
        <w:rPr>
          <w:color w:val="000000"/>
        </w:rPr>
      </w:pPr>
      <w:r>
        <w:rPr>
          <w:color w:val="000000" w:themeColor="text1"/>
        </w:rPr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Расчеты с подотчетными лицами  отражаются в журнале – операций № 3 «Расчеты с подо</w:t>
      </w:r>
      <w:r>
        <w:rPr>
          <w:color w:val="000000" w:themeColor="text1"/>
        </w:rPr>
        <w:t xml:space="preserve">т</w:t>
      </w:r>
      <w:r>
        <w:rPr>
          <w:color w:val="000000" w:themeColor="text1"/>
        </w:rPr>
        <w:t xml:space="preserve">четными лицами».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Проверка расчетов с подотчетными лицами проведена за период с 01.01.</w:t>
      </w:r>
      <w:r>
        <w:rPr>
          <w:color w:val="000000" w:themeColor="text1"/>
        </w:rPr>
        <w:t xml:space="preserve">20</w:t>
      </w:r>
      <w:r>
        <w:rPr>
          <w:color w:val="000000" w:themeColor="text1"/>
        </w:rPr>
        <w:t xml:space="preserve">20</w:t>
      </w:r>
      <w:r>
        <w:rPr>
          <w:color w:val="000000" w:themeColor="text1"/>
        </w:rPr>
        <w:t xml:space="preserve"> по 31.12.</w:t>
      </w:r>
      <w:r>
        <w:rPr>
          <w:color w:val="000000" w:themeColor="text1"/>
        </w:rPr>
        <w:t xml:space="preserve">2020</w:t>
      </w:r>
      <w:r>
        <w:rPr>
          <w:color w:val="000000" w:themeColor="text1"/>
        </w:rPr>
        <w:t xml:space="preserve"> г.   Проверены авансовые отчеты с приложенными к ним оправдательными документами. 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</w:rPr>
      </w:pPr>
      <w:r>
        <w:rPr>
          <w:b/>
          <w:i/>
          <w:color w:val="000000" w:themeColor="text1"/>
        </w:rPr>
        <w:t xml:space="preserve">На данном участке учёта нарушений не  выявлено.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</w:rPr>
      </w:pPr>
      <w:r>
        <w:rPr>
          <w:b/>
          <w:i/>
          <w:color w:val="000000" w:themeColor="text1"/>
          <w:highlight w:val="none"/>
        </w:rPr>
      </w:r>
      <w:r>
        <w:rPr>
          <w:color w:val="000000" w:themeColor="text1"/>
        </w:rPr>
      </w:r>
      <w:r/>
    </w:p>
    <w:p>
      <w:pPr>
        <w:pStyle w:val="852"/>
        <w:ind w:firstLine="540"/>
        <w:jc w:val="center"/>
        <w:rPr>
          <w:color w:val="000000"/>
        </w:rPr>
      </w:pPr>
      <w:r>
        <w:rPr>
          <w:b/>
          <w:color w:val="000000" w:themeColor="text1"/>
        </w:rPr>
        <w:t xml:space="preserve">Проверка правильности отражения операций с поставщиками и подрядчиками</w:t>
      </w:r>
      <w:r>
        <w:rPr>
          <w:color w:val="000000" w:themeColor="text1"/>
        </w:rPr>
      </w:r>
      <w:r/>
    </w:p>
    <w:p>
      <w:pPr>
        <w:pStyle w:val="852"/>
        <w:ind w:firstLine="540"/>
        <w:jc w:val="center"/>
        <w:rPr>
          <w:color w:val="000000"/>
        </w:rPr>
      </w:pPr>
      <w:r>
        <w:rPr>
          <w:color w:val="000000" w:themeColor="text1"/>
        </w:rPr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Для обобщения информации об операциях с поставщиками и подрядчиками в учреждении применяют счета 302.00 «Расчеты с поставщиками и подрядчиками» и 206.00 «Расчеты по выданным авансам», операции отражаются в журнале – операций № 4 .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Проверка операций по расчетам с поставщиками и подрядчиками проведена за период с 01.01.2020 по 31.12.2020 г. Проверены: журналы – операций № 4 «Журнал операций расчетов с п</w:t>
      </w:r>
      <w:r>
        <w:rPr>
          <w:color w:val="000000" w:themeColor="text1"/>
        </w:rPr>
        <w:t xml:space="preserve">о</w:t>
      </w:r>
      <w:r>
        <w:rPr>
          <w:color w:val="000000" w:themeColor="text1"/>
        </w:rPr>
        <w:t xml:space="preserve">ставщиками и подрядчиками», акты об оказании услуг, выполнении работ, товарные накладные, счета фактуры.</w:t>
      </w:r>
      <w:r>
        <w:rPr>
          <w:color w:val="000000" w:themeColor="text1"/>
        </w:rPr>
      </w:r>
      <w:r/>
    </w:p>
    <w:p>
      <w:pPr>
        <w:pStyle w:val="852"/>
        <w:ind w:firstLine="540"/>
        <w:rPr>
          <w:color w:val="000000"/>
        </w:rPr>
      </w:pPr>
      <w:r>
        <w:rPr>
          <w:color w:val="000000" w:themeColor="text1"/>
        </w:rPr>
        <w:t xml:space="preserve">В ходе проверки выявлено:</w:t>
      </w:r>
      <w:r>
        <w:rPr>
          <w:color w:val="000000" w:themeColor="text1"/>
        </w:rPr>
      </w:r>
      <w:r/>
    </w:p>
    <w:p>
      <w:pPr>
        <w:pStyle w:val="941"/>
        <w:ind w:left="0" w:right="0" w:firstLine="540"/>
        <w:jc w:val="both"/>
        <w:rPr>
          <w:color w:val="000000"/>
        </w:rPr>
      </w:pPr>
      <w:r>
        <w:rPr>
          <w:color w:val="000000" w:themeColor="text1"/>
        </w:rPr>
        <w:t xml:space="preserve">1. Все хозяйственные операции, проводимые организацией, должны быть оформлены документально. Эти документы служат первичными учетными документами, должны быт</w:t>
      </w:r>
      <w:r>
        <w:rPr>
          <w:color w:val="000000" w:themeColor="text1"/>
        </w:rPr>
        <w:t xml:space="preserve">ь полностью оформлены, на основании которых ведется бухгалтерский учет. За  проверяемый период необоснованно принимались на расходы (на себестоимость) материальные запасы и оказанные услуги поставщиками учреждению (без оправдательных документов), например:</w:t>
      </w:r>
      <w:r>
        <w:rPr>
          <w:color w:val="000000" w:themeColor="text1"/>
        </w:rPr>
      </w:r>
      <w:r/>
    </w:p>
    <w:tbl>
      <w:tblPr>
        <w:tblW w:w="0" w:type="auto"/>
        <w:tblInd w:w="-230" w:type="dxa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615"/>
        <w:gridCol w:w="1085"/>
        <w:gridCol w:w="1440"/>
        <w:gridCol w:w="1800"/>
        <w:gridCol w:w="1372"/>
        <w:gridCol w:w="2997"/>
      </w:tblGrid>
      <w:tr>
        <w:trPr>
          <w:cantSplit w:val="false"/>
        </w:trPr>
        <w:tc>
          <w:tcPr>
            <w:tcBorders>
              <w:left w:val="single" w:color="000000" w:sz="4" w:space="0"/>
              <w:top w:val="single" w:color="000000" w:sz="4" w:space="0"/>
              <w:right w:val="none" w:color="000000" w:sz="0" w:space="0"/>
              <w:bottom w:val="single" w:color="000000" w:sz="4" w:space="0"/>
            </w:tcBorders>
            <w:tcW w:w="1615" w:type="nil"/>
            <w:vAlign w:val="top"/>
            <w:textDirection w:val="lrTb"/>
            <w:noWrap w:val="false"/>
          </w:tcPr>
          <w:p>
            <w:pPr>
              <w:pStyle w:val="941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Наименование услуги, товара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none" w:color="000000" w:sz="0" w:space="0"/>
              <w:bottom w:val="single" w:color="000000" w:sz="4" w:space="0"/>
            </w:tcBorders>
            <w:tcW w:w="1085" w:type="nil"/>
            <w:vAlign w:val="top"/>
            <w:textDirection w:val="lrTb"/>
            <w:noWrap w:val="false"/>
          </w:tcPr>
          <w:p>
            <w:pPr>
              <w:pStyle w:val="941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документ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none" w:color="000000" w:sz="0" w:space="0"/>
              <w:bottom w:val="single" w:color="000000" w:sz="4" w:space="0"/>
            </w:tcBorders>
            <w:tcW w:w="1440" w:type="nil"/>
            <w:vAlign w:val="top"/>
            <w:textDirection w:val="lrTb"/>
            <w:noWrap w:val="false"/>
          </w:tcPr>
          <w:p>
            <w:pPr>
              <w:pStyle w:val="941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№ и дата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none" w:color="000000" w:sz="0" w:space="0"/>
              <w:bottom w:val="single" w:color="000000" w:sz="4" w:space="0"/>
            </w:tcBorders>
            <w:tcW w:w="1800" w:type="nil"/>
            <w:vAlign w:val="top"/>
            <w:textDirection w:val="lrTb"/>
            <w:noWrap w:val="false"/>
          </w:tcPr>
          <w:p>
            <w:pPr>
              <w:pStyle w:val="941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Контрагент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none" w:color="000000" w:sz="0" w:space="0"/>
              <w:bottom w:val="single" w:color="000000" w:sz="4" w:space="0"/>
            </w:tcBorders>
            <w:tcW w:w="1372" w:type="nil"/>
            <w:vAlign w:val="top"/>
            <w:textDirection w:val="lrTb"/>
            <w:noWrap w:val="false"/>
          </w:tcPr>
          <w:p>
            <w:pPr>
              <w:pStyle w:val="941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Сумма, принятая к учету, руб.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997" w:type="nil"/>
            <w:vAlign w:val="top"/>
            <w:textDirection w:val="lrTb"/>
            <w:noWrap w:val="false"/>
          </w:tcPr>
          <w:p>
            <w:pPr>
              <w:pStyle w:val="941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Нарушение</w:t>
            </w:r>
            <w:r>
              <w:rPr>
                <w:color w:val="000000" w:themeColor="text1"/>
              </w:rPr>
            </w:r>
            <w:r/>
          </w:p>
        </w:tc>
      </w:tr>
      <w:tr>
        <w:trPr>
          <w:cantSplit w:val="false"/>
        </w:trPr>
        <w:tc>
          <w:tcPr>
            <w:tcBorders>
              <w:left w:val="single" w:color="000000" w:sz="4" w:space="0"/>
              <w:top w:val="single" w:color="000000" w:sz="4" w:space="0"/>
              <w:right w:val="none" w:color="000000" w:sz="0" w:space="0"/>
              <w:bottom w:val="single" w:color="000000" w:sz="4" w:space="0"/>
            </w:tcBorders>
            <w:tcW w:w="1615" w:type="nil"/>
            <w:vAlign w:val="top"/>
            <w:textDirection w:val="lrTb"/>
            <w:noWrap w:val="false"/>
          </w:tcPr>
          <w:p>
            <w:pPr>
              <w:pStyle w:val="941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фискальный накопитель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none" w:color="000000" w:sz="0" w:space="0"/>
              <w:bottom w:val="single" w:color="000000" w:sz="4" w:space="0"/>
            </w:tcBorders>
            <w:tcW w:w="1085" w:type="nil"/>
            <w:vAlign w:val="top"/>
            <w:textDirection w:val="lrTb"/>
            <w:noWrap w:val="false"/>
          </w:tcPr>
          <w:p>
            <w:pPr>
              <w:pStyle w:val="941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счет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none" w:color="000000" w:sz="0" w:space="0"/>
              <w:bottom w:val="single" w:color="000000" w:sz="4" w:space="0"/>
            </w:tcBorders>
            <w:tcW w:w="1440" w:type="nil"/>
            <w:vAlign w:val="top"/>
            <w:textDirection w:val="lrTb"/>
            <w:noWrap w:val="false"/>
          </w:tcPr>
          <w:p>
            <w:pPr>
              <w:pStyle w:val="941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578 от 17.09.2020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none" w:color="000000" w:sz="0" w:space="0"/>
              <w:bottom w:val="single" w:color="000000" w:sz="4" w:space="0"/>
            </w:tcBorders>
            <w:tcW w:w="1800" w:type="nil"/>
            <w:vAlign w:val="top"/>
            <w:textDirection w:val="lrTb"/>
            <w:noWrap w:val="false"/>
          </w:tcPr>
          <w:p>
            <w:pPr>
              <w:pStyle w:val="941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ИП Федотин К.Б.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none" w:color="000000" w:sz="0" w:space="0"/>
              <w:bottom w:val="single" w:color="000000" w:sz="4" w:space="0"/>
            </w:tcBorders>
            <w:tcW w:w="1372" w:type="nil"/>
            <w:vAlign w:val="top"/>
            <w:textDirection w:val="lrTb"/>
            <w:noWrap w:val="false"/>
          </w:tcPr>
          <w:p>
            <w:pPr>
              <w:pStyle w:val="941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7 700,00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997" w:type="nil"/>
            <w:vAlign w:val="top"/>
            <w:textDirection w:val="lrTb"/>
            <w:noWrap w:val="false"/>
          </w:tcPr>
          <w:p>
            <w:pPr>
              <w:pStyle w:val="941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ксерокопия</w:t>
            </w:r>
            <w:r>
              <w:rPr>
                <w:color w:val="000000" w:themeColor="text1"/>
              </w:rPr>
            </w:r>
            <w:r/>
          </w:p>
        </w:tc>
      </w:tr>
    </w:tbl>
    <w:p>
      <w:pPr>
        <w:pStyle w:val="941"/>
        <w:ind w:left="0" w:right="0" w:firstLine="540"/>
        <w:rPr>
          <w:color w:val="000000"/>
        </w:rPr>
      </w:pPr>
      <w:r>
        <w:rPr>
          <w:b/>
          <w:i/>
          <w:color w:val="000000" w:themeColor="text1"/>
        </w:rPr>
        <w:t xml:space="preserve">Рекомендуем устранить отмеченные недостатки за 2020 год.</w:t>
      </w:r>
      <w:r>
        <w:rPr>
          <w:color w:val="000000" w:themeColor="text1"/>
        </w:rPr>
      </w:r>
      <w:r/>
    </w:p>
    <w:p>
      <w:pPr>
        <w:pStyle w:val="852"/>
        <w:ind w:firstLine="540"/>
        <w:rPr>
          <w:color w:val="000000"/>
        </w:rPr>
      </w:pPr>
      <w:r>
        <w:rPr>
          <w:color w:val="000000" w:themeColor="text1"/>
        </w:rPr>
        <w:t xml:space="preserve">2. нарушение п. 4 ст. 709 Гражданского кодекса РФ</w:t>
      </w:r>
      <w:r>
        <w:rPr>
          <w:color w:val="000000" w:themeColor="text1"/>
        </w:rPr>
      </w:r>
      <w:r/>
    </w:p>
    <w:p>
      <w:pPr>
        <w:pStyle w:val="852"/>
        <w:ind w:firstLine="540"/>
        <w:rPr>
          <w:color w:val="000000"/>
        </w:rPr>
      </w:pPr>
      <w:r>
        <w:rPr>
          <w:color w:val="000000" w:themeColor="text1"/>
        </w:rPr>
        <w:t xml:space="preserve">Согласно положениям ст. 424 Гражданского кодекса РФ стороны правомочны согласовать цену, по которой в дальнейшем будет оплачено исполнение договора.</w:t>
      </w:r>
      <w:r>
        <w:rPr>
          <w:color w:val="000000" w:themeColor="text1"/>
        </w:rPr>
      </w:r>
      <w:r/>
    </w:p>
    <w:p>
      <w:pPr>
        <w:pStyle w:val="852"/>
        <w:ind w:firstLine="540"/>
        <w:rPr>
          <w:color w:val="000000"/>
        </w:rPr>
      </w:pPr>
      <w:r>
        <w:rPr>
          <w:color w:val="000000" w:themeColor="text1"/>
        </w:rPr>
        <w:t xml:space="preserve">При этом цена может быть зафиксирована различными способами, самыми распростране</w:t>
      </w:r>
      <w:r>
        <w:rPr>
          <w:color w:val="000000" w:themeColor="text1"/>
        </w:rPr>
        <w:t xml:space="preserve">н</w:t>
      </w:r>
      <w:r>
        <w:rPr>
          <w:color w:val="000000" w:themeColor="text1"/>
        </w:rPr>
        <w:t xml:space="preserve">ными из которых являются:</w:t>
      </w:r>
      <w:r>
        <w:rPr>
          <w:color w:val="000000" w:themeColor="text1"/>
        </w:rPr>
      </w:r>
      <w:r/>
    </w:p>
    <w:p>
      <w:pPr>
        <w:pStyle w:val="852"/>
        <w:numPr>
          <w:ilvl w:val="0"/>
          <w:numId w:val="6"/>
        </w:numPr>
        <w:rPr>
          <w:color w:val="000000"/>
        </w:rPr>
      </w:pPr>
      <w:r>
        <w:rPr>
          <w:color w:val="000000" w:themeColor="text1"/>
        </w:rPr>
        <w:t xml:space="preserve">твердая цена, т. е. установленная в определенном размере, в общем случае не подл</w:t>
      </w:r>
      <w:r>
        <w:rPr>
          <w:color w:val="000000" w:themeColor="text1"/>
        </w:rPr>
        <w:t xml:space="preserve">е</w:t>
      </w:r>
      <w:r>
        <w:rPr>
          <w:color w:val="000000" w:themeColor="text1"/>
        </w:rPr>
        <w:t xml:space="preserve">жащем изменению;</w:t>
      </w:r>
      <w:r>
        <w:rPr>
          <w:color w:val="000000" w:themeColor="text1"/>
        </w:rPr>
      </w:r>
      <w:r/>
    </w:p>
    <w:p>
      <w:pPr>
        <w:pStyle w:val="852"/>
        <w:numPr>
          <w:ilvl w:val="0"/>
          <w:numId w:val="6"/>
        </w:numPr>
        <w:rPr>
          <w:color w:val="000000"/>
        </w:rPr>
      </w:pPr>
      <w:r>
        <w:rPr>
          <w:color w:val="000000" w:themeColor="text1"/>
        </w:rPr>
        <w:t xml:space="preserve">приблизительная цена, т. е. цена, окончательный расчет которой будет произведен по факту исполнения договора. 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При этом стороны на основании норм ст. 450 ГК РФ правомочны изменить по взаимному с</w:t>
      </w:r>
      <w:r>
        <w:rPr>
          <w:color w:val="000000" w:themeColor="text1"/>
        </w:rPr>
        <w:t xml:space="preserve">о</w:t>
      </w:r>
      <w:r>
        <w:rPr>
          <w:color w:val="000000" w:themeColor="text1"/>
        </w:rPr>
        <w:t xml:space="preserve">глашению или в судебном порядке всякое условие договора, в т. ч. и установленную в твердой форме цену договора.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В договорах Учреждения с поставщиками, подрядчиками отсутствуют формулировки пол</w:t>
      </w:r>
      <w:r>
        <w:rPr>
          <w:color w:val="000000" w:themeColor="text1"/>
        </w:rPr>
        <w:t xml:space="preserve">о</w:t>
      </w:r>
      <w:r>
        <w:rPr>
          <w:color w:val="000000" w:themeColor="text1"/>
        </w:rPr>
        <w:t xml:space="preserve">жений, закрепляющих определенный способ фиксации цены работ, например: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  <w:highlight w:val="none"/>
          <w:u w:val="none"/>
        </w:rPr>
      </w:pPr>
      <w:r>
        <w:rPr>
          <w:color w:val="000000" w:themeColor="text1"/>
        </w:rPr>
        <w:t xml:space="preserve">-</w:t>
      </w:r>
      <w:r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договор от</w:t>
      </w:r>
      <w:r>
        <w:rPr>
          <w:color w:val="000000" w:themeColor="text1"/>
          <w:u w:val="none"/>
        </w:rPr>
        <w:t xml:space="preserve"> </w:t>
      </w:r>
      <w:hyperlink r:id="rId13" w:tooltip="http://29.01.2020" w:history="1">
        <w:r>
          <w:rPr>
            <w:rStyle w:val="916"/>
            <w:color w:val="000000" w:themeColor="text1"/>
            <w:u w:val="none"/>
          </w:rPr>
          <w:t xml:space="preserve">29.01.2020</w:t>
        </w:r>
      </w:hyperlink>
      <w:r>
        <w:rPr>
          <w:color w:val="000000" w:themeColor="text1"/>
          <w:u w:val="none"/>
        </w:rPr>
        <w:t xml:space="preserve"> № 32 с ГПКО «ИД «Галичские известия» на сумму 95 000,00 рублей;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  <w:highlight w:val="none"/>
        </w:rPr>
      </w:pPr>
      <w:r>
        <w:rPr>
          <w:color w:val="000000" w:themeColor="text1"/>
          <w:u w:val="none"/>
        </w:rPr>
        <w:t xml:space="preserve">-</w:t>
      </w:r>
      <w:r>
        <w:rPr>
          <w:color w:val="000000" w:themeColor="text1"/>
          <w:u w:val="none"/>
        </w:rPr>
        <w:t xml:space="preserve"> </w:t>
      </w:r>
      <w:r>
        <w:rPr>
          <w:color w:val="000000" w:themeColor="text1"/>
          <w:u w:val="none"/>
        </w:rPr>
        <w:t xml:space="preserve">договор от </w:t>
      </w:r>
      <w:hyperlink r:id="rId14" w:tooltip="http://29.01.2020" w:history="1">
        <w:r>
          <w:rPr>
            <w:rStyle w:val="916"/>
            <w:color w:val="000000" w:themeColor="text1"/>
            <w:u w:val="none"/>
          </w:rPr>
          <w:t xml:space="preserve">29.01.2020</w:t>
        </w:r>
      </w:hyperlink>
      <w:r>
        <w:rPr>
          <w:color w:val="000000" w:themeColor="text1"/>
          <w:u w:val="none"/>
        </w:rPr>
        <w:t xml:space="preserve"> </w:t>
      </w:r>
      <w:r>
        <w:rPr>
          <w:color w:val="000000" w:themeColor="text1"/>
        </w:rPr>
        <w:t xml:space="preserve">№35 с ГПКО «ИД «Галичские известия» на сумму 6267,00 рублей;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  <w:highlight w:val="none"/>
        </w:rPr>
      </w:pPr>
      <w:r>
        <w:rPr>
          <w:color w:val="000000" w:themeColor="text1"/>
          <w:u w:val="none"/>
        </w:rPr>
        <w:t xml:space="preserve">-</w:t>
      </w:r>
      <w:r>
        <w:rPr>
          <w:color w:val="000000" w:themeColor="text1"/>
          <w:u w:val="none"/>
        </w:rPr>
        <w:t xml:space="preserve"> </w:t>
      </w:r>
      <w:r>
        <w:rPr>
          <w:color w:val="000000" w:themeColor="text1"/>
          <w:u w:val="none"/>
        </w:rPr>
        <w:t xml:space="preserve">договор от </w:t>
      </w:r>
      <w:hyperlink r:id="rId15" w:tooltip="http://29.01.2020" w:history="1">
        <w:r>
          <w:rPr>
            <w:rStyle w:val="916"/>
            <w:color w:val="000000" w:themeColor="text1"/>
            <w:u w:val="none"/>
          </w:rPr>
          <w:t xml:space="preserve">29.01.2020</w:t>
        </w:r>
      </w:hyperlink>
      <w:r>
        <w:rPr>
          <w:color w:val="000000" w:themeColor="text1"/>
          <w:u w:val="none"/>
        </w:rPr>
        <w:t xml:space="preserve"> </w:t>
      </w:r>
      <w:r>
        <w:rPr>
          <w:color w:val="000000" w:themeColor="text1"/>
        </w:rPr>
        <w:t xml:space="preserve">№36 с ГПКО «ИД «Галичские известия» на сумму 2583,00 рублей;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  <w:highlight w:val="none"/>
        </w:rPr>
      </w:pPr>
      <w:r>
        <w:rPr>
          <w:color w:val="000000" w:themeColor="text1"/>
          <w:u w:val="none"/>
        </w:rPr>
        <w:t xml:space="preserve">-</w:t>
      </w:r>
      <w:r>
        <w:rPr>
          <w:color w:val="000000" w:themeColor="text1"/>
          <w:u w:val="none"/>
        </w:rPr>
        <w:t xml:space="preserve"> </w:t>
      </w:r>
      <w:r>
        <w:rPr>
          <w:color w:val="000000" w:themeColor="text1"/>
          <w:u w:val="none"/>
        </w:rPr>
        <w:t xml:space="preserve">договор от </w:t>
      </w:r>
      <w:hyperlink r:id="rId16" w:tooltip="http://29.01.2020" w:history="1">
        <w:r>
          <w:rPr>
            <w:rStyle w:val="916"/>
            <w:color w:val="000000" w:themeColor="text1"/>
            <w:u w:val="none"/>
            <w:lang w:val="ru-RU"/>
          </w:rPr>
          <w:t xml:space="preserve">09.12</w:t>
        </w:r>
        <w:r>
          <w:rPr>
            <w:rStyle w:val="916"/>
            <w:color w:val="000000" w:themeColor="text1"/>
            <w:u w:val="none"/>
          </w:rPr>
          <w:t xml:space="preserve">.2020</w:t>
        </w:r>
      </w:hyperlink>
      <w:r>
        <w:rPr>
          <w:color w:val="000000" w:themeColor="text1"/>
          <w:u w:val="none"/>
        </w:rPr>
        <w:t xml:space="preserve"> </w:t>
      </w:r>
      <w:r>
        <w:rPr>
          <w:color w:val="000000" w:themeColor="text1"/>
        </w:rPr>
        <w:t xml:space="preserve">№392 с ГПКО «ИД «Галичские известия» на сумму 36400,00 рублей;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  <w:highlight w:val="none"/>
        </w:rPr>
      </w:pPr>
      <w:r>
        <w:rPr>
          <w:color w:val="000000" w:themeColor="text1"/>
          <w:u w:val="none"/>
        </w:rPr>
        <w:t xml:space="preserve">-</w:t>
      </w:r>
      <w:r>
        <w:rPr>
          <w:color w:val="000000" w:themeColor="text1"/>
          <w:u w:val="none"/>
        </w:rPr>
        <w:t xml:space="preserve"> </w:t>
      </w:r>
      <w:r>
        <w:rPr>
          <w:color w:val="000000" w:themeColor="text1"/>
          <w:u w:val="none"/>
        </w:rPr>
        <w:t xml:space="preserve">договор от </w:t>
      </w:r>
      <w:hyperlink r:id="rId17" w:tooltip="http://29.01.2020" w:history="1">
        <w:r>
          <w:rPr>
            <w:rStyle w:val="916"/>
            <w:color w:val="000000" w:themeColor="text1"/>
            <w:u w:val="none"/>
            <w:lang w:val="ru-RU"/>
          </w:rPr>
          <w:t xml:space="preserve">16.12</w:t>
        </w:r>
        <w:r>
          <w:rPr>
            <w:rStyle w:val="916"/>
            <w:color w:val="000000" w:themeColor="text1"/>
            <w:u w:val="none"/>
          </w:rPr>
          <w:t xml:space="preserve">.2020</w:t>
        </w:r>
      </w:hyperlink>
      <w:r>
        <w:rPr>
          <w:color w:val="000000" w:themeColor="text1"/>
          <w:u w:val="none"/>
        </w:rPr>
        <w:t xml:space="preserve"> </w:t>
      </w:r>
      <w:r>
        <w:rPr>
          <w:color w:val="000000" w:themeColor="text1"/>
        </w:rPr>
        <w:t xml:space="preserve">№ 409 с ГПКО «ИД «Галичские известия» на сумму 1249,12 рублей;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  <w:highlight w:val="none"/>
        </w:rPr>
      </w:pPr>
      <w:r>
        <w:rPr>
          <w:color w:val="000000" w:themeColor="text1"/>
          <w:u w:val="none"/>
        </w:rPr>
        <w:t xml:space="preserve">-</w:t>
      </w:r>
      <w:r>
        <w:rPr>
          <w:color w:val="000000" w:themeColor="text1"/>
          <w:u w:val="none"/>
        </w:rPr>
        <w:t xml:space="preserve"> </w:t>
      </w:r>
      <w:r>
        <w:rPr>
          <w:color w:val="000000" w:themeColor="text1"/>
          <w:u w:val="none"/>
        </w:rPr>
        <w:t xml:space="preserve">договор от </w:t>
      </w:r>
      <w:hyperlink r:id="rId18" w:tooltip="http://29.01.2020" w:history="1">
        <w:r>
          <w:rPr>
            <w:rStyle w:val="916"/>
            <w:color w:val="000000" w:themeColor="text1"/>
            <w:u w:val="none"/>
            <w:lang w:val="ru-RU"/>
          </w:rPr>
          <w:t xml:space="preserve">07.02</w:t>
        </w:r>
        <w:r>
          <w:rPr>
            <w:rStyle w:val="916"/>
            <w:color w:val="000000" w:themeColor="text1"/>
            <w:u w:val="none"/>
          </w:rPr>
          <w:t xml:space="preserve">.2020</w:t>
        </w:r>
      </w:hyperlink>
      <w:r>
        <w:rPr>
          <w:color w:val="000000" w:themeColor="text1"/>
          <w:u w:val="none"/>
        </w:rPr>
        <w:t xml:space="preserve"> </w:t>
      </w:r>
      <w:r>
        <w:rPr>
          <w:color w:val="000000" w:themeColor="text1"/>
        </w:rPr>
        <w:t xml:space="preserve">№1 с ООО «Альянс-Авто-Шарья» на сумму 30 000,00 рублей;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  <w:highlight w:val="none"/>
        </w:rPr>
      </w:pPr>
      <w:r>
        <w:rPr>
          <w:color w:val="000000" w:themeColor="text1"/>
          <w:u w:val="none"/>
        </w:rPr>
        <w:t xml:space="preserve">-</w:t>
      </w:r>
      <w:r>
        <w:rPr>
          <w:color w:val="000000" w:themeColor="text1"/>
          <w:u w:val="none"/>
        </w:rPr>
        <w:t xml:space="preserve"> </w:t>
      </w:r>
      <w:r>
        <w:rPr>
          <w:color w:val="000000" w:themeColor="text1"/>
          <w:u w:val="none"/>
        </w:rPr>
        <w:t xml:space="preserve">договор от </w:t>
      </w:r>
      <w:hyperlink r:id="rId19" w:tooltip="http://29.01.2020" w:history="1">
        <w:r>
          <w:rPr>
            <w:rStyle w:val="916"/>
            <w:color w:val="000000" w:themeColor="text1"/>
            <w:u w:val="none"/>
            <w:lang w:val="ru-RU"/>
          </w:rPr>
          <w:t xml:space="preserve">13.03</w:t>
        </w:r>
        <w:r>
          <w:rPr>
            <w:rStyle w:val="916"/>
            <w:color w:val="000000" w:themeColor="text1"/>
            <w:u w:val="none"/>
          </w:rPr>
          <w:t xml:space="preserve">.2020</w:t>
        </w:r>
      </w:hyperlink>
      <w:r>
        <w:rPr>
          <w:color w:val="000000" w:themeColor="text1"/>
          <w:u w:val="none"/>
        </w:rPr>
        <w:t xml:space="preserve"> </w:t>
      </w:r>
      <w:r>
        <w:rPr>
          <w:color w:val="000000" w:themeColor="text1"/>
        </w:rPr>
        <w:t xml:space="preserve">№3 с ООО «Полигон» на сумму 1 000,00 рублей;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  <w:highlight w:val="none"/>
        </w:rPr>
      </w:pPr>
      <w:r>
        <w:rPr>
          <w:color w:val="000000" w:themeColor="text1"/>
          <w:u w:val="none"/>
        </w:rPr>
        <w:t xml:space="preserve">-</w:t>
      </w:r>
      <w:r>
        <w:rPr>
          <w:color w:val="000000" w:themeColor="text1"/>
          <w:u w:val="none"/>
        </w:rPr>
        <w:t xml:space="preserve"> </w:t>
      </w:r>
      <w:r>
        <w:rPr>
          <w:color w:val="000000" w:themeColor="text1"/>
          <w:u w:val="none"/>
        </w:rPr>
        <w:t xml:space="preserve">договор от </w:t>
      </w:r>
      <w:hyperlink r:id="rId20" w:tooltip="http://29.01.2020" w:history="1">
        <w:r>
          <w:rPr>
            <w:rStyle w:val="916"/>
            <w:color w:val="000000" w:themeColor="text1"/>
            <w:u w:val="none"/>
            <w:lang w:val="ru-RU"/>
          </w:rPr>
          <w:t xml:space="preserve">25.03</w:t>
        </w:r>
        <w:r>
          <w:rPr>
            <w:rStyle w:val="916"/>
            <w:color w:val="000000" w:themeColor="text1"/>
            <w:u w:val="none"/>
          </w:rPr>
          <w:t xml:space="preserve">.2020</w:t>
        </w:r>
      </w:hyperlink>
      <w:r>
        <w:rPr>
          <w:color w:val="000000" w:themeColor="text1"/>
          <w:u w:val="none"/>
        </w:rPr>
        <w:t xml:space="preserve"> </w:t>
      </w:r>
      <w:r>
        <w:rPr>
          <w:color w:val="000000" w:themeColor="text1"/>
        </w:rPr>
        <w:t xml:space="preserve">№4 с «ТФОМС КО» на сумму 2 400,00 рублей;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  <w:highlight w:val="none"/>
        </w:rPr>
      </w:pPr>
      <w:r>
        <w:rPr>
          <w:color w:val="000000" w:themeColor="text1"/>
          <w:u w:val="none"/>
        </w:rPr>
        <w:t xml:space="preserve">-</w:t>
      </w:r>
      <w:r>
        <w:rPr>
          <w:color w:val="000000" w:themeColor="text1"/>
          <w:u w:val="none"/>
        </w:rPr>
        <w:t xml:space="preserve"> </w:t>
      </w:r>
      <w:r>
        <w:rPr>
          <w:color w:val="000000" w:themeColor="text1"/>
          <w:u w:val="none"/>
        </w:rPr>
        <w:t xml:space="preserve">договор без даты </w:t>
      </w:r>
      <w:r>
        <w:rPr>
          <w:color w:val="000000" w:themeColor="text1"/>
        </w:rPr>
        <w:t xml:space="preserve">№ 2791/2020/44-1 с ООО «Офисная канцелярия» на сумму 2 250,00 рублей;</w:t>
      </w:r>
      <w:r>
        <w:rPr>
          <w:color w:val="000000" w:themeColor="text1"/>
        </w:rPr>
      </w:r>
      <w:r/>
    </w:p>
    <w:p>
      <w:pPr>
        <w:pStyle w:val="852"/>
        <w:ind w:firstLine="540"/>
        <w:rPr>
          <w:b/>
          <w:i/>
          <w:color w:val="000000"/>
        </w:rPr>
      </w:pPr>
      <w:r>
        <w:rPr>
          <w:b/>
          <w:i/>
          <w:color w:val="000000" w:themeColor="text1"/>
        </w:rPr>
        <w:t xml:space="preserve">Рекомендуем заключать договоры в соответствии с Гражданским Кодексом Российской Федерации.</w:t>
      </w:r>
      <w:r>
        <w:rPr>
          <w:color w:val="000000" w:themeColor="text1"/>
        </w:rPr>
      </w:r>
      <w:r/>
    </w:p>
    <w:p>
      <w:pPr>
        <w:pStyle w:val="852"/>
        <w:ind w:firstLine="540"/>
        <w:jc w:val="center"/>
        <w:rPr>
          <w:color w:val="000000"/>
        </w:rPr>
      </w:pPr>
      <w:r>
        <w:rPr>
          <w:b/>
          <w:color w:val="000000" w:themeColor="text1"/>
        </w:rPr>
        <w:t xml:space="preserve">Проверка правильности отражения расчетов с дебиторами по доходам</w:t>
      </w:r>
      <w:r>
        <w:rPr>
          <w:color w:val="000000" w:themeColor="text1"/>
        </w:rPr>
      </w:r>
      <w:r/>
    </w:p>
    <w:p>
      <w:pPr>
        <w:pStyle w:val="852"/>
        <w:ind w:firstLine="540"/>
        <w:jc w:val="center"/>
        <w:rPr>
          <w:color w:val="000000"/>
        </w:rPr>
      </w:pPr>
      <w:r>
        <w:rPr>
          <w:color w:val="000000" w:themeColor="text1"/>
        </w:rPr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 Для обобщения информации о расчетах с дебиторами по доходам в учреждении применяется счет 205.00 «Расчеты с дебиторами по доходам», операции отражаются в журнале – операций № 5.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 Проверка расчетов с дебиторами по доходам проведена за период с 01.01.</w:t>
      </w:r>
      <w:r>
        <w:rPr>
          <w:color w:val="000000" w:themeColor="text1"/>
        </w:rPr>
        <w:t xml:space="preserve">20</w:t>
      </w:r>
      <w:r>
        <w:rPr>
          <w:color w:val="000000" w:themeColor="text1"/>
        </w:rPr>
        <w:t xml:space="preserve">20</w:t>
      </w:r>
      <w:r>
        <w:rPr>
          <w:color w:val="000000" w:themeColor="text1"/>
        </w:rPr>
        <w:t xml:space="preserve"> по 31.12.</w:t>
      </w:r>
      <w:r>
        <w:rPr>
          <w:color w:val="000000" w:themeColor="text1"/>
        </w:rPr>
        <w:t xml:space="preserve">2020</w:t>
      </w:r>
      <w:r>
        <w:rPr>
          <w:color w:val="000000" w:themeColor="text1"/>
        </w:rPr>
        <w:t xml:space="preserve">. Проверены журналы – операций № 5 «Расчеты с дебиторами по доходам», акты об оказании услуг (товарные накладные).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В ходе проверки выявлено нарушение ст.9 Федерального закона "О бухгалтерском учете" от 06.12.2011 N 402-ФЗ, например:</w:t>
      </w:r>
      <w:r>
        <w:rPr>
          <w:color w:val="000000" w:themeColor="text1"/>
        </w:rPr>
      </w:r>
      <w:r/>
    </w:p>
    <w:tbl>
      <w:tblPr>
        <w:tblW w:w="0" w:type="auto"/>
        <w:tblInd w:w="-117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615"/>
        <w:gridCol w:w="1085"/>
        <w:gridCol w:w="1440"/>
        <w:gridCol w:w="1800"/>
        <w:gridCol w:w="1372"/>
        <w:gridCol w:w="2987"/>
      </w:tblGrid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15" w:type="dxa"/>
            <w:vAlign w:val="top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Наименов</w:t>
            </w:r>
            <w:r>
              <w:rPr>
                <w:color w:val="000000" w:themeColor="text1"/>
                <w:sz w:val="24"/>
              </w:rPr>
              <w:t xml:space="preserve">а</w:t>
            </w:r>
            <w:r>
              <w:rPr>
                <w:color w:val="000000" w:themeColor="text1"/>
                <w:sz w:val="24"/>
              </w:rPr>
              <w:t xml:space="preserve">ние услуги, товара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085" w:type="dxa"/>
            <w:vAlign w:val="top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док</w:t>
            </w:r>
            <w:r>
              <w:rPr>
                <w:color w:val="000000" w:themeColor="text1"/>
                <w:sz w:val="24"/>
              </w:rPr>
              <w:t xml:space="preserve">у</w:t>
            </w:r>
            <w:r>
              <w:rPr>
                <w:color w:val="000000" w:themeColor="text1"/>
                <w:sz w:val="24"/>
              </w:rPr>
              <w:t xml:space="preserve">мент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440" w:type="dxa"/>
            <w:vAlign w:val="top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№ и дата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800" w:type="dxa"/>
            <w:vAlign w:val="top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Контрагент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372" w:type="dxa"/>
            <w:vAlign w:val="top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Сумма, принятая к учету, руб.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987" w:type="dxa"/>
            <w:vAlign w:val="top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Нарушение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15" w:type="dxa"/>
            <w:vAlign w:val="top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 и</w:t>
            </w:r>
            <w:r>
              <w:rPr>
                <w:color w:val="000000" w:themeColor="text1"/>
                <w:sz w:val="24"/>
              </w:rPr>
              <w:t xml:space="preserve">н</w:t>
            </w:r>
            <w:r>
              <w:rPr>
                <w:color w:val="000000" w:themeColor="text1"/>
                <w:sz w:val="24"/>
              </w:rPr>
              <w:t xml:space="preserve">формац. </w:t>
            </w:r>
            <w:r>
              <w:rPr>
                <w:color w:val="000000" w:themeColor="text1"/>
              </w:rPr>
            </w:r>
            <w:r/>
          </w:p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услуги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085" w:type="dxa"/>
            <w:vAlign w:val="top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акт выполнен. работ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440" w:type="dxa"/>
            <w:vAlign w:val="top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№ 41 от 14.04.2020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800" w:type="dxa"/>
            <w:vAlign w:val="top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население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372" w:type="dxa"/>
            <w:vAlign w:val="top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5 190,00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987" w:type="dxa"/>
            <w:vAlign w:val="top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о</w:t>
            </w:r>
            <w:r>
              <w:rPr>
                <w:color w:val="000000" w:themeColor="text1"/>
                <w:sz w:val="24"/>
              </w:rPr>
              <w:t xml:space="preserve">тсутствуют печать и подпись заказчика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15" w:type="dxa"/>
            <w:vAlign w:val="top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 и</w:t>
            </w:r>
            <w:r>
              <w:rPr>
                <w:color w:val="000000" w:themeColor="text1"/>
                <w:sz w:val="24"/>
              </w:rPr>
              <w:t xml:space="preserve">н</w:t>
            </w:r>
            <w:r>
              <w:rPr>
                <w:color w:val="000000" w:themeColor="text1"/>
                <w:sz w:val="24"/>
              </w:rPr>
              <w:t xml:space="preserve">формац. </w:t>
            </w:r>
            <w:r>
              <w:rPr>
                <w:color w:val="000000" w:themeColor="text1"/>
              </w:rPr>
            </w:r>
            <w:r/>
          </w:p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услуги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085" w:type="dxa"/>
            <w:vAlign w:val="top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акт выполнен. работ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440" w:type="dxa"/>
            <w:vAlign w:val="top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№ 50 от 13.05.2020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800" w:type="dxa"/>
            <w:vAlign w:val="top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население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372" w:type="dxa"/>
            <w:vAlign w:val="top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13 150,00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987" w:type="dxa"/>
            <w:vAlign w:val="top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о</w:t>
            </w:r>
            <w:r>
              <w:rPr>
                <w:color w:val="000000" w:themeColor="text1"/>
                <w:sz w:val="24"/>
              </w:rPr>
              <w:t xml:space="preserve">тсутствуют печать и подпись заказчика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15" w:type="dxa"/>
            <w:vAlign w:val="top"/>
            <w:vMerge w:val="restart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 и</w:t>
            </w:r>
            <w:r>
              <w:rPr>
                <w:color w:val="000000" w:themeColor="text1"/>
                <w:sz w:val="24"/>
              </w:rPr>
              <w:t xml:space="preserve">н</w:t>
            </w:r>
            <w:r>
              <w:rPr>
                <w:color w:val="000000" w:themeColor="text1"/>
                <w:sz w:val="24"/>
              </w:rPr>
              <w:t xml:space="preserve">формац. </w:t>
            </w:r>
            <w:r>
              <w:rPr>
                <w:color w:val="000000" w:themeColor="text1"/>
              </w:rPr>
            </w:r>
            <w:r/>
          </w:p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услуги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085" w:type="dxa"/>
            <w:vAlign w:val="top"/>
            <w:vMerge w:val="restart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акт выполнен. работ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440" w:type="dxa"/>
            <w:vAlign w:val="top"/>
            <w:vMerge w:val="restart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№ 59 от 27.05.2020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800" w:type="dxa"/>
            <w:vAlign w:val="top"/>
            <w:vMerge w:val="restart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население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372" w:type="dxa"/>
            <w:vAlign w:val="top"/>
            <w:vMerge w:val="restart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14 000,00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987" w:type="dxa"/>
            <w:vAlign w:val="top"/>
            <w:vMerge w:val="restart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о</w:t>
            </w:r>
            <w:r>
              <w:rPr>
                <w:color w:val="000000" w:themeColor="text1"/>
                <w:sz w:val="24"/>
              </w:rPr>
              <w:t xml:space="preserve">тсутствуют печать и подпись заказчика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15" w:type="dxa"/>
            <w:vAlign w:val="top"/>
            <w:vMerge w:val="restart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 и</w:t>
            </w:r>
            <w:r>
              <w:rPr>
                <w:color w:val="000000" w:themeColor="text1"/>
                <w:sz w:val="24"/>
              </w:rPr>
              <w:t xml:space="preserve">н</w:t>
            </w:r>
            <w:r>
              <w:rPr>
                <w:color w:val="000000" w:themeColor="text1"/>
                <w:sz w:val="24"/>
              </w:rPr>
              <w:t xml:space="preserve">формац. </w:t>
            </w:r>
            <w:r>
              <w:rPr>
                <w:color w:val="000000" w:themeColor="text1"/>
              </w:rPr>
            </w:r>
            <w:r/>
          </w:p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услуги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085" w:type="dxa"/>
            <w:vAlign w:val="top"/>
            <w:vMerge w:val="restart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акт выполнен. работ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440" w:type="dxa"/>
            <w:vAlign w:val="top"/>
            <w:vMerge w:val="restart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№ 71 от 18.06.2020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800" w:type="dxa"/>
            <w:vAlign w:val="top"/>
            <w:vMerge w:val="restart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население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372" w:type="dxa"/>
            <w:vAlign w:val="top"/>
            <w:vMerge w:val="restart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10 650,00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987" w:type="dxa"/>
            <w:vAlign w:val="top"/>
            <w:vMerge w:val="restart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о</w:t>
            </w:r>
            <w:r>
              <w:rPr>
                <w:color w:val="000000" w:themeColor="text1"/>
                <w:sz w:val="24"/>
              </w:rPr>
              <w:t xml:space="preserve">тсутствуют печать и подпись заказчика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15" w:type="dxa"/>
            <w:vAlign w:val="top"/>
            <w:vMerge w:val="restart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 и</w:t>
            </w:r>
            <w:r>
              <w:rPr>
                <w:color w:val="000000" w:themeColor="text1"/>
                <w:sz w:val="24"/>
              </w:rPr>
              <w:t xml:space="preserve">н</w:t>
            </w:r>
            <w:r>
              <w:rPr>
                <w:color w:val="000000" w:themeColor="text1"/>
                <w:sz w:val="24"/>
              </w:rPr>
              <w:t xml:space="preserve">формац. </w:t>
            </w:r>
            <w:r>
              <w:rPr>
                <w:color w:val="000000" w:themeColor="text1"/>
              </w:rPr>
            </w:r>
            <w:r/>
          </w:p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услуги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085" w:type="dxa"/>
            <w:vAlign w:val="top"/>
            <w:vMerge w:val="restart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акт выполнен. работ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440" w:type="dxa"/>
            <w:vAlign w:val="top"/>
            <w:vMerge w:val="restart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№ 77 от 29.06.2020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800" w:type="dxa"/>
            <w:vAlign w:val="top"/>
            <w:vMerge w:val="restart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население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372" w:type="dxa"/>
            <w:vAlign w:val="top"/>
            <w:vMerge w:val="restart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4 000,00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987" w:type="dxa"/>
            <w:vAlign w:val="top"/>
            <w:vMerge w:val="restart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о</w:t>
            </w:r>
            <w:r>
              <w:rPr>
                <w:color w:val="000000" w:themeColor="text1"/>
                <w:sz w:val="24"/>
              </w:rPr>
              <w:t xml:space="preserve">тсутствуют печать и подпись заказчика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15" w:type="dxa"/>
            <w:vAlign w:val="top"/>
            <w:vMerge w:val="restart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 и</w:t>
            </w:r>
            <w:r>
              <w:rPr>
                <w:color w:val="000000" w:themeColor="text1"/>
                <w:sz w:val="24"/>
              </w:rPr>
              <w:t xml:space="preserve">н</w:t>
            </w:r>
            <w:r>
              <w:rPr>
                <w:color w:val="000000" w:themeColor="text1"/>
                <w:sz w:val="24"/>
              </w:rPr>
              <w:t xml:space="preserve">формац. </w:t>
            </w:r>
            <w:r>
              <w:rPr>
                <w:color w:val="000000" w:themeColor="text1"/>
              </w:rPr>
            </w:r>
            <w:r/>
          </w:p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услуги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085" w:type="dxa"/>
            <w:vAlign w:val="top"/>
            <w:vMerge w:val="restart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акт выполнен. работ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440" w:type="dxa"/>
            <w:vAlign w:val="top"/>
            <w:vMerge w:val="restart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№ 84 от 09.07.2020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800" w:type="dxa"/>
            <w:vAlign w:val="top"/>
            <w:vMerge w:val="restart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население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372" w:type="dxa"/>
            <w:vAlign w:val="top"/>
            <w:vMerge w:val="restart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5 100,00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987" w:type="dxa"/>
            <w:vAlign w:val="top"/>
            <w:vMerge w:val="restart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о</w:t>
            </w:r>
            <w:r>
              <w:rPr>
                <w:color w:val="000000" w:themeColor="text1"/>
                <w:sz w:val="24"/>
              </w:rPr>
              <w:t xml:space="preserve">тсутствуют печать и подпись заказчика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15" w:type="dxa"/>
            <w:vAlign w:val="top"/>
            <w:vMerge w:val="restart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 и</w:t>
            </w:r>
            <w:r>
              <w:rPr>
                <w:color w:val="000000" w:themeColor="text1"/>
                <w:sz w:val="24"/>
              </w:rPr>
              <w:t xml:space="preserve">н</w:t>
            </w:r>
            <w:r>
              <w:rPr>
                <w:color w:val="000000" w:themeColor="text1"/>
                <w:sz w:val="24"/>
              </w:rPr>
              <w:t xml:space="preserve">формац. </w:t>
            </w:r>
            <w:r>
              <w:rPr>
                <w:color w:val="000000" w:themeColor="text1"/>
              </w:rPr>
            </w:r>
            <w:r/>
          </w:p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услуги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085" w:type="dxa"/>
            <w:vAlign w:val="top"/>
            <w:vMerge w:val="restart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акт выполнен. работ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440" w:type="dxa"/>
            <w:vAlign w:val="top"/>
            <w:vMerge w:val="restart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№ 87 от 15.07.2020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800" w:type="dxa"/>
            <w:vAlign w:val="top"/>
            <w:vMerge w:val="restart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ООО «Альянс-Авто-Шарья»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372" w:type="dxa"/>
            <w:vAlign w:val="top"/>
            <w:vMerge w:val="restart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4 000,00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987" w:type="dxa"/>
            <w:vAlign w:val="top"/>
            <w:vMerge w:val="restart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о</w:t>
            </w:r>
            <w:r>
              <w:rPr>
                <w:color w:val="000000" w:themeColor="text1"/>
                <w:sz w:val="24"/>
              </w:rPr>
              <w:t xml:space="preserve">тсутствуют печать и подпись заказчика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15" w:type="dxa"/>
            <w:vAlign w:val="top"/>
            <w:vMerge w:val="restart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 и</w:t>
            </w:r>
            <w:r>
              <w:rPr>
                <w:color w:val="000000" w:themeColor="text1"/>
                <w:sz w:val="24"/>
              </w:rPr>
              <w:t xml:space="preserve">н</w:t>
            </w:r>
            <w:r>
              <w:rPr>
                <w:color w:val="000000" w:themeColor="text1"/>
                <w:sz w:val="24"/>
              </w:rPr>
              <w:t xml:space="preserve">формац. </w:t>
            </w:r>
            <w:r>
              <w:rPr>
                <w:color w:val="000000" w:themeColor="text1"/>
              </w:rPr>
            </w:r>
            <w:r/>
          </w:p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услуги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085" w:type="dxa"/>
            <w:vAlign w:val="top"/>
            <w:vMerge w:val="restart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акт выполнен. работ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440" w:type="dxa"/>
            <w:vAlign w:val="top"/>
            <w:vMerge w:val="restart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№ 91 от 28.07.2020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800" w:type="dxa"/>
            <w:vAlign w:val="top"/>
            <w:vMerge w:val="restart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население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372" w:type="dxa"/>
            <w:vAlign w:val="top"/>
            <w:vMerge w:val="restart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11 600,00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987" w:type="dxa"/>
            <w:vAlign w:val="top"/>
            <w:vMerge w:val="restart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о</w:t>
            </w:r>
            <w:r>
              <w:rPr>
                <w:color w:val="000000" w:themeColor="text1"/>
                <w:sz w:val="24"/>
              </w:rPr>
              <w:t xml:space="preserve">тсутствуют печать и подпись заказчика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15" w:type="dxa"/>
            <w:vAlign w:val="top"/>
            <w:vMerge w:val="restart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 и</w:t>
            </w:r>
            <w:r>
              <w:rPr>
                <w:color w:val="000000" w:themeColor="text1"/>
                <w:sz w:val="24"/>
              </w:rPr>
              <w:t xml:space="preserve">н</w:t>
            </w:r>
            <w:r>
              <w:rPr>
                <w:color w:val="000000" w:themeColor="text1"/>
                <w:sz w:val="24"/>
              </w:rPr>
              <w:t xml:space="preserve">формац. </w:t>
            </w:r>
            <w:r>
              <w:rPr>
                <w:color w:val="000000" w:themeColor="text1"/>
              </w:rPr>
            </w:r>
            <w:r/>
          </w:p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услуги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085" w:type="dxa"/>
            <w:vAlign w:val="top"/>
            <w:vMerge w:val="restart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акт выполнен. работ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440" w:type="dxa"/>
            <w:vAlign w:val="top"/>
            <w:vMerge w:val="restart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№ 2 от 21.01.2020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800" w:type="dxa"/>
            <w:vAlign w:val="top"/>
            <w:vMerge w:val="restart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население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372" w:type="dxa"/>
            <w:vAlign w:val="top"/>
            <w:vMerge w:val="restart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10 920,00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987" w:type="dxa"/>
            <w:vAlign w:val="top"/>
            <w:vMerge w:val="restart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о</w:t>
            </w:r>
            <w:r>
              <w:rPr>
                <w:color w:val="000000" w:themeColor="text1"/>
                <w:sz w:val="24"/>
              </w:rPr>
              <w:t xml:space="preserve">тсутствуют печать и подпись заказчика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15" w:type="dxa"/>
            <w:vAlign w:val="top"/>
            <w:vMerge w:val="restart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 и</w:t>
            </w:r>
            <w:r>
              <w:rPr>
                <w:color w:val="000000" w:themeColor="text1"/>
                <w:sz w:val="24"/>
              </w:rPr>
              <w:t xml:space="preserve">н</w:t>
            </w:r>
            <w:r>
              <w:rPr>
                <w:color w:val="000000" w:themeColor="text1"/>
                <w:sz w:val="24"/>
              </w:rPr>
              <w:t xml:space="preserve">формац. </w:t>
            </w:r>
            <w:r>
              <w:rPr>
                <w:color w:val="000000" w:themeColor="text1"/>
              </w:rPr>
            </w:r>
            <w:r/>
          </w:p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услуги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085" w:type="dxa"/>
            <w:vAlign w:val="top"/>
            <w:vMerge w:val="restart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акт выполнен. работ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440" w:type="dxa"/>
            <w:vAlign w:val="top"/>
            <w:vMerge w:val="restart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№ 99 от 20.08.2020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800" w:type="dxa"/>
            <w:vAlign w:val="top"/>
            <w:vMerge w:val="restart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Костромское региональное отделение Всерос.полити. партии «Единая Россия»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372" w:type="dxa"/>
            <w:vAlign w:val="top"/>
            <w:vMerge w:val="restart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16 350,00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987" w:type="dxa"/>
            <w:vAlign w:val="top"/>
            <w:vMerge w:val="restart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о</w:t>
            </w:r>
            <w:r>
              <w:rPr>
                <w:color w:val="000000" w:themeColor="text1"/>
                <w:sz w:val="24"/>
              </w:rPr>
              <w:t xml:space="preserve">тсутствуют печать и расшифровка подписи заказчика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15" w:type="dxa"/>
            <w:vAlign w:val="top"/>
            <w:vMerge w:val="restart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 и</w:t>
            </w:r>
            <w:r>
              <w:rPr>
                <w:color w:val="000000" w:themeColor="text1"/>
                <w:sz w:val="24"/>
              </w:rPr>
              <w:t xml:space="preserve">н</w:t>
            </w:r>
            <w:r>
              <w:rPr>
                <w:color w:val="000000" w:themeColor="text1"/>
                <w:sz w:val="24"/>
              </w:rPr>
              <w:t xml:space="preserve">формац. </w:t>
            </w:r>
            <w:r>
              <w:rPr>
                <w:color w:val="000000" w:themeColor="text1"/>
              </w:rPr>
            </w:r>
            <w:r/>
          </w:p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услуги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085" w:type="dxa"/>
            <w:vAlign w:val="top"/>
            <w:vMerge w:val="restart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акт выполнен. работ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440" w:type="dxa"/>
            <w:vAlign w:val="top"/>
            <w:vMerge w:val="restart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№ 110 от 07.09.2020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800" w:type="dxa"/>
            <w:vAlign w:val="top"/>
            <w:vMerge w:val="restart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ООО «Гарантстрой»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372" w:type="dxa"/>
            <w:vAlign w:val="top"/>
            <w:vMerge w:val="restart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300,00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987" w:type="dxa"/>
            <w:vAlign w:val="top"/>
            <w:vMerge w:val="restart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  <w:t xml:space="preserve">о</w:t>
            </w:r>
            <w:r>
              <w:rPr>
                <w:color w:val="000000" w:themeColor="text1"/>
                <w:sz w:val="24"/>
              </w:rPr>
              <w:t xml:space="preserve">тсутствуют печать и расшифровка подписи заказчика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15" w:type="dxa"/>
            <w:vAlign w:val="top"/>
            <w:vMerge w:val="restart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 и</w:t>
            </w:r>
            <w:r>
              <w:rPr>
                <w:color w:val="000000" w:themeColor="text1"/>
                <w:sz w:val="24"/>
              </w:rPr>
              <w:t xml:space="preserve">н</w:t>
            </w:r>
            <w:r>
              <w:rPr>
                <w:color w:val="000000" w:themeColor="text1"/>
                <w:sz w:val="24"/>
              </w:rPr>
              <w:t xml:space="preserve">формац. </w:t>
            </w:r>
            <w:r>
              <w:rPr>
                <w:color w:val="000000" w:themeColor="text1"/>
              </w:rPr>
            </w:r>
            <w:r/>
          </w:p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услуги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085" w:type="dxa"/>
            <w:vAlign w:val="top"/>
            <w:vMerge w:val="restart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акт выполнен. работ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440" w:type="dxa"/>
            <w:vAlign w:val="top"/>
            <w:vMerge w:val="restart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№ 111 от 08.09.2020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800" w:type="dxa"/>
            <w:vAlign w:val="top"/>
            <w:vMerge w:val="restart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ООО «Гарантстрой»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372" w:type="dxa"/>
            <w:vAlign w:val="top"/>
            <w:vMerge w:val="restart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300,00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987" w:type="dxa"/>
            <w:vAlign w:val="top"/>
            <w:vMerge w:val="restart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  <w:t xml:space="preserve">о</w:t>
            </w:r>
            <w:r>
              <w:rPr>
                <w:color w:val="000000" w:themeColor="text1"/>
                <w:sz w:val="24"/>
              </w:rPr>
              <w:t xml:space="preserve">тсутствуют печать и расшифровка подписи заказчика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15" w:type="dxa"/>
            <w:vAlign w:val="top"/>
            <w:vMerge w:val="restart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 и</w:t>
            </w:r>
            <w:r>
              <w:rPr>
                <w:color w:val="000000" w:themeColor="text1"/>
                <w:sz w:val="24"/>
              </w:rPr>
              <w:t xml:space="preserve">н</w:t>
            </w:r>
            <w:r>
              <w:rPr>
                <w:color w:val="000000" w:themeColor="text1"/>
                <w:sz w:val="24"/>
              </w:rPr>
              <w:t xml:space="preserve">формац. </w:t>
            </w:r>
            <w:r>
              <w:rPr>
                <w:color w:val="000000" w:themeColor="text1"/>
              </w:rPr>
            </w:r>
            <w:r/>
          </w:p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услуги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085" w:type="dxa"/>
            <w:vAlign w:val="top"/>
            <w:vMerge w:val="restart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акт выполнен. работ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440" w:type="dxa"/>
            <w:vAlign w:val="top"/>
            <w:vMerge w:val="restart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№ 144 от 10.11.2020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800" w:type="dxa"/>
            <w:vAlign w:val="top"/>
            <w:vMerge w:val="restart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АО «Универсам №1»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372" w:type="dxa"/>
            <w:vAlign w:val="top"/>
            <w:vMerge w:val="restart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3 000,00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987" w:type="dxa"/>
            <w:vAlign w:val="top"/>
            <w:vMerge w:val="restart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  <w:t xml:space="preserve">о</w:t>
            </w:r>
            <w:r>
              <w:rPr>
                <w:color w:val="000000" w:themeColor="text1"/>
                <w:sz w:val="24"/>
              </w:rPr>
              <w:t xml:space="preserve">тсутствуют печать и расшифровка подписи заказчика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15" w:type="dxa"/>
            <w:vAlign w:val="top"/>
            <w:vMerge w:val="restart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 и</w:t>
            </w:r>
            <w:r>
              <w:rPr>
                <w:color w:val="000000" w:themeColor="text1"/>
                <w:sz w:val="24"/>
              </w:rPr>
              <w:t xml:space="preserve">н</w:t>
            </w:r>
            <w:r>
              <w:rPr>
                <w:color w:val="000000" w:themeColor="text1"/>
                <w:sz w:val="24"/>
              </w:rPr>
              <w:t xml:space="preserve">формац. </w:t>
            </w:r>
            <w:r>
              <w:rPr>
                <w:color w:val="000000" w:themeColor="text1"/>
              </w:rPr>
            </w:r>
            <w:r/>
          </w:p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услуги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085" w:type="dxa"/>
            <w:vAlign w:val="top"/>
            <w:vMerge w:val="restart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акт выполнен. работ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440" w:type="dxa"/>
            <w:vAlign w:val="top"/>
            <w:vMerge w:val="restart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№ 152 от 25.11.2020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800" w:type="dxa"/>
            <w:vAlign w:val="top"/>
            <w:vMerge w:val="restart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НО «Фонд развития КО»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372" w:type="dxa"/>
            <w:vAlign w:val="top"/>
            <w:vMerge w:val="restart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100 000,00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987" w:type="dxa"/>
            <w:vAlign w:val="top"/>
            <w:vMerge w:val="restart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  <w:t xml:space="preserve">о</w:t>
            </w:r>
            <w:r>
              <w:rPr>
                <w:color w:val="000000" w:themeColor="text1"/>
                <w:sz w:val="24"/>
              </w:rPr>
              <w:t xml:space="preserve">тсутствуют печать и расшифровка подписи заказчика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15" w:type="dxa"/>
            <w:vAlign w:val="top"/>
            <w:vMerge w:val="restart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 и</w:t>
            </w:r>
            <w:r>
              <w:rPr>
                <w:color w:val="000000" w:themeColor="text1"/>
                <w:sz w:val="24"/>
              </w:rPr>
              <w:t xml:space="preserve">н</w:t>
            </w:r>
            <w:r>
              <w:rPr>
                <w:color w:val="000000" w:themeColor="text1"/>
                <w:sz w:val="24"/>
              </w:rPr>
              <w:t xml:space="preserve">формац. </w:t>
            </w:r>
            <w:r>
              <w:rPr>
                <w:color w:val="000000" w:themeColor="text1"/>
              </w:rPr>
            </w:r>
            <w:r/>
          </w:p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услуги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085" w:type="dxa"/>
            <w:vAlign w:val="top"/>
            <w:vMerge w:val="restart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акт выполнен. работ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440" w:type="dxa"/>
            <w:vAlign w:val="top"/>
            <w:vMerge w:val="restart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№ 15 от  26.02.2020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800" w:type="dxa"/>
            <w:vAlign w:val="top"/>
            <w:vMerge w:val="restart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ООО «Торгсервис 37»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372" w:type="dxa"/>
            <w:vAlign w:val="top"/>
            <w:vMerge w:val="restart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4 000,00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987" w:type="dxa"/>
            <w:vAlign w:val="top"/>
            <w:vMerge w:val="restart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  <w:t xml:space="preserve">о</w:t>
            </w:r>
            <w:r>
              <w:rPr>
                <w:color w:val="000000" w:themeColor="text1"/>
                <w:sz w:val="24"/>
              </w:rPr>
              <w:t xml:space="preserve">тсутствует печать заказчика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15" w:type="dxa"/>
            <w:vAlign w:val="top"/>
            <w:vMerge w:val="restart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 и</w:t>
            </w:r>
            <w:r>
              <w:rPr>
                <w:color w:val="000000" w:themeColor="text1"/>
                <w:sz w:val="24"/>
              </w:rPr>
              <w:t xml:space="preserve">н</w:t>
            </w:r>
            <w:r>
              <w:rPr>
                <w:color w:val="000000" w:themeColor="text1"/>
                <w:sz w:val="24"/>
              </w:rPr>
              <w:t xml:space="preserve">формац. </w:t>
            </w:r>
            <w:r>
              <w:rPr>
                <w:color w:val="000000" w:themeColor="text1"/>
              </w:rPr>
            </w:r>
            <w:r/>
          </w:p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услуги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085" w:type="dxa"/>
            <w:vAlign w:val="top"/>
            <w:vMerge w:val="restart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акт выполнен. работ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440" w:type="dxa"/>
            <w:vAlign w:val="top"/>
            <w:vMerge w:val="restart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№ 23 от  12.03.2020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800" w:type="dxa"/>
            <w:vAlign w:val="top"/>
            <w:vMerge w:val="restart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ООО «Торгсервис 37»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372" w:type="dxa"/>
            <w:vAlign w:val="top"/>
            <w:vMerge w:val="restart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4 000,00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987" w:type="dxa"/>
            <w:vAlign w:val="top"/>
            <w:vMerge w:val="restart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  <w:t xml:space="preserve">о</w:t>
            </w:r>
            <w:r>
              <w:rPr>
                <w:color w:val="000000" w:themeColor="text1"/>
                <w:sz w:val="24"/>
              </w:rPr>
              <w:t xml:space="preserve">тсутствует печать заказчика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15" w:type="dxa"/>
            <w:vAlign w:val="top"/>
            <w:vMerge w:val="restart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 и</w:t>
            </w:r>
            <w:r>
              <w:rPr>
                <w:color w:val="000000" w:themeColor="text1"/>
                <w:sz w:val="24"/>
              </w:rPr>
              <w:t xml:space="preserve">н</w:t>
            </w:r>
            <w:r>
              <w:rPr>
                <w:color w:val="000000" w:themeColor="text1"/>
                <w:sz w:val="24"/>
              </w:rPr>
              <w:t xml:space="preserve">формац. </w:t>
            </w:r>
            <w:r>
              <w:rPr>
                <w:color w:val="000000" w:themeColor="text1"/>
              </w:rPr>
            </w:r>
            <w:r/>
          </w:p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услуги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085" w:type="dxa"/>
            <w:vAlign w:val="top"/>
            <w:vMerge w:val="restart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акт выполнен. работ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440" w:type="dxa"/>
            <w:vAlign w:val="top"/>
            <w:vMerge w:val="restart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№ 16 от  28.02.2020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800" w:type="dxa"/>
            <w:vAlign w:val="top"/>
            <w:vMerge w:val="restart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ООО «Продресурс»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372" w:type="dxa"/>
            <w:vAlign w:val="top"/>
            <w:vMerge w:val="restart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2 000,00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987" w:type="dxa"/>
            <w:vAlign w:val="top"/>
            <w:vMerge w:val="restart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  <w:t xml:space="preserve">о</w:t>
            </w:r>
            <w:r>
              <w:rPr>
                <w:color w:val="000000" w:themeColor="text1"/>
                <w:sz w:val="24"/>
              </w:rPr>
              <w:t xml:space="preserve">тсутствует печать заказчика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15" w:type="dxa"/>
            <w:vAlign w:val="top"/>
            <w:vMerge w:val="restart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 и</w:t>
            </w:r>
            <w:r>
              <w:rPr>
                <w:color w:val="000000" w:themeColor="text1"/>
                <w:sz w:val="24"/>
              </w:rPr>
              <w:t xml:space="preserve">н</w:t>
            </w:r>
            <w:r>
              <w:rPr>
                <w:color w:val="000000" w:themeColor="text1"/>
                <w:sz w:val="24"/>
              </w:rPr>
              <w:t xml:space="preserve">формац. </w:t>
            </w:r>
            <w:r>
              <w:rPr>
                <w:color w:val="000000" w:themeColor="text1"/>
              </w:rPr>
            </w:r>
            <w:r/>
          </w:p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услуги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085" w:type="dxa"/>
            <w:vAlign w:val="top"/>
            <w:vMerge w:val="restart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акт выполнен. работ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440" w:type="dxa"/>
            <w:vAlign w:val="top"/>
            <w:vMerge w:val="restart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№ 17 от  28.02.2020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800" w:type="dxa"/>
            <w:vAlign w:val="top"/>
            <w:vMerge w:val="restart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ООО «Нет долгам»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372" w:type="dxa"/>
            <w:vAlign w:val="top"/>
            <w:vMerge w:val="restart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1 000,00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987" w:type="dxa"/>
            <w:vAlign w:val="top"/>
            <w:vMerge w:val="restart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  <w:t xml:space="preserve">о</w:t>
            </w:r>
            <w:r>
              <w:rPr>
                <w:color w:val="000000" w:themeColor="text1"/>
                <w:sz w:val="24"/>
              </w:rPr>
              <w:t xml:space="preserve">тсутствует печать заказчика</w:t>
            </w:r>
            <w:r>
              <w:rPr>
                <w:color w:val="000000" w:themeColor="text1"/>
              </w:rPr>
            </w:r>
            <w:r/>
          </w:p>
        </w:tc>
      </w:tr>
    </w:tbl>
    <w:p>
      <w:pPr>
        <w:pStyle w:val="85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Данное нарушение документального оформления первичных кассовых документов не обе</w:t>
      </w:r>
      <w:r>
        <w:rPr>
          <w:color w:val="000000" w:themeColor="text1"/>
        </w:rPr>
        <w:t xml:space="preserve">с</w:t>
      </w:r>
      <w:r>
        <w:rPr>
          <w:color w:val="000000" w:themeColor="text1"/>
        </w:rPr>
        <w:t xml:space="preserve">печивает прозрачность бухгалтерского учета в части учета доходов учреждения.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 </w:t>
      </w:r>
      <w:r>
        <w:rPr>
          <w:b/>
          <w:i/>
          <w:color w:val="000000" w:themeColor="text1"/>
        </w:rPr>
        <w:t xml:space="preserve">Рекомендуем обеспечить расчет операций с дебиторами о</w:t>
      </w:r>
      <w:r>
        <w:rPr>
          <w:b/>
          <w:i/>
          <w:color w:val="000000" w:themeColor="text1"/>
        </w:rPr>
        <w:t xml:space="preserve">т физических лиц в с</w:t>
      </w:r>
      <w:r>
        <w:rPr>
          <w:b/>
          <w:i/>
          <w:color w:val="000000" w:themeColor="text1"/>
        </w:rPr>
        <w:t xml:space="preserve">о</w:t>
      </w:r>
      <w:r>
        <w:rPr>
          <w:b/>
          <w:i/>
          <w:color w:val="000000" w:themeColor="text1"/>
        </w:rPr>
        <w:t xml:space="preserve">ответствии со ст.9 Федерального Закона от 06.12.2011 № 402-ФЗ.</w:t>
      </w:r>
      <w:r>
        <w:rPr>
          <w:color w:val="000000" w:themeColor="text1"/>
        </w:rPr>
      </w:r>
      <w:r/>
    </w:p>
    <w:p>
      <w:pPr>
        <w:pStyle w:val="852"/>
        <w:ind w:firstLine="540"/>
        <w:jc w:val="center"/>
        <w:rPr>
          <w:b/>
          <w:color w:val="000000"/>
        </w:rPr>
      </w:pPr>
      <w:r>
        <w:rPr>
          <w:b/>
          <w:color w:val="000000" w:themeColor="text1"/>
        </w:rPr>
      </w:r>
      <w:r>
        <w:rPr>
          <w:color w:val="000000" w:themeColor="text1"/>
        </w:rPr>
      </w:r>
      <w:r/>
    </w:p>
    <w:p>
      <w:pPr>
        <w:pStyle w:val="852"/>
        <w:ind w:firstLine="540"/>
        <w:jc w:val="center"/>
        <w:rPr>
          <w:b/>
          <w:color w:val="000000"/>
        </w:rPr>
      </w:pPr>
      <w:r>
        <w:rPr>
          <w:b/>
          <w:color w:val="000000"/>
        </w:rPr>
      </w:r>
      <w:r>
        <w:rPr>
          <w:b/>
          <w:color w:val="000000"/>
        </w:rPr>
      </w:r>
    </w:p>
    <w:p>
      <w:pPr>
        <w:pStyle w:val="852"/>
        <w:ind w:firstLine="540"/>
        <w:jc w:val="center"/>
        <w:rPr>
          <w:b/>
          <w:color w:val="000000"/>
        </w:rPr>
      </w:pPr>
      <w:r>
        <w:rPr>
          <w:b/>
          <w:color w:val="000000"/>
        </w:rPr>
      </w:r>
      <w:r>
        <w:rPr>
          <w:b/>
          <w:color w:val="000000"/>
        </w:rPr>
      </w:r>
    </w:p>
    <w:p>
      <w:pPr>
        <w:pStyle w:val="852"/>
        <w:ind w:firstLine="540"/>
        <w:jc w:val="center"/>
        <w:rPr>
          <w:b/>
          <w:color w:val="000000"/>
        </w:rPr>
      </w:pPr>
      <w:r>
        <w:rPr>
          <w:b/>
          <w:color w:val="000000" w:themeColor="text1"/>
        </w:rPr>
        <w:tab/>
      </w:r>
      <w:r>
        <w:rPr>
          <w:color w:val="000000" w:themeColor="text1"/>
        </w:rPr>
      </w:r>
      <w:r/>
    </w:p>
    <w:p>
      <w:pPr>
        <w:pStyle w:val="852"/>
        <w:ind w:firstLine="540"/>
        <w:jc w:val="center"/>
        <w:rPr>
          <w:b/>
          <w:color w:val="000000"/>
          <w:highlight w:val="none"/>
        </w:rPr>
      </w:pPr>
      <w:r>
        <w:rPr>
          <w:b/>
          <w:color w:val="000000" w:themeColor="text1"/>
        </w:rPr>
        <w:t xml:space="preserve">Проверка правильности расчетов по оплате труда</w:t>
      </w:r>
      <w:r>
        <w:rPr>
          <w:color w:val="000000" w:themeColor="text1"/>
        </w:rPr>
      </w:r>
      <w:r/>
    </w:p>
    <w:p>
      <w:pPr>
        <w:pStyle w:val="852"/>
        <w:ind w:firstLine="540"/>
        <w:jc w:val="center"/>
        <w:rPr>
          <w:b/>
          <w:color w:val="000000"/>
        </w:rPr>
      </w:pPr>
      <w:r>
        <w:rPr>
          <w:b/>
          <w:color w:val="000000" w:themeColor="text1"/>
          <w:highlight w:val="none"/>
        </w:rPr>
      </w:r>
      <w:r>
        <w:rPr>
          <w:b/>
          <w:color w:val="000000" w:themeColor="text1"/>
          <w:highlight w:val="none"/>
        </w:rPr>
      </w:r>
      <w:r/>
    </w:p>
    <w:p>
      <w:pPr>
        <w:pStyle w:val="852"/>
        <w:ind w:firstLine="540"/>
        <w:jc w:val="both"/>
        <w:rPr>
          <w:color w:val="000000"/>
        </w:rPr>
      </w:pPr>
      <w:r>
        <w:rPr>
          <w:b/>
          <w:color w:val="000000" w:themeColor="text1"/>
        </w:rPr>
        <w:tab/>
      </w:r>
      <w:r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 Учет расчетов по заработной плате ведется на счете 302.01 «Расчеты по заработной пл</w:t>
      </w:r>
      <w:r>
        <w:rPr>
          <w:color w:val="000000" w:themeColor="text1"/>
        </w:rPr>
        <w:t xml:space="preserve">а</w:t>
      </w:r>
      <w:r>
        <w:rPr>
          <w:color w:val="000000" w:themeColor="text1"/>
        </w:rPr>
        <w:t xml:space="preserve">те», операции отражаются в журнале – операций № 6 «Расчеты по оплате труда».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Начисление заработной платы осуществляется на основании табелей учета рабочего времени и приказов руководителя, согласно штатному расписанию.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Расчеты по оплате труда  автоматизированы. 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Сроки выплаты заработной платы установлены 10 и 25 числа каждого месяца.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В ходе проверки нарушений на данном участке учета выявлено: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  <w:highlight w:val="none"/>
        </w:rPr>
      </w:pPr>
      <w:r>
        <w:rPr>
          <w:color w:val="000000" w:themeColor="text1"/>
        </w:rPr>
      </w:r>
      <w:r>
        <w:rPr>
          <w:color w:val="000000" w:themeColor="text1"/>
        </w:rPr>
        <w:t xml:space="preserve">1. </w:t>
      </w:r>
      <w:r>
        <w:rPr>
          <w:color w:val="000000" w:themeColor="text1"/>
        </w:rPr>
        <w:t xml:space="preserve">нарушения документального оформления первичных учетных докум</w:t>
      </w:r>
      <w:r>
        <w:rPr>
          <w:color w:val="000000" w:themeColor="text1"/>
        </w:rPr>
        <w:t xml:space="preserve">ентов по учету заработной платы в части неправильного проставления условного обозначения в табеле рабочего времени</w:t>
      </w:r>
      <w:r>
        <w:rPr>
          <w:color w:val="000000" w:themeColor="text1"/>
        </w:rPr>
        <w:t xml:space="preserve">, н</w:t>
      </w:r>
      <w:r>
        <w:rPr>
          <w:color w:val="000000" w:themeColor="text1"/>
        </w:rPr>
        <w:t xml:space="preserve">а</w:t>
      </w:r>
      <w:r>
        <w:rPr>
          <w:color w:val="000000" w:themeColor="text1"/>
        </w:rPr>
        <w:t xml:space="preserve">пример: </w:t>
      </w:r>
      <w:r>
        <w:rPr>
          <w:color w:val="000000" w:themeColor="text1"/>
        </w:rPr>
      </w:r>
      <w:r/>
    </w:p>
    <w:p>
      <w:pPr>
        <w:pStyle w:val="852"/>
        <w:numPr>
          <w:ilvl w:val="0"/>
          <w:numId w:val="16"/>
        </w:numPr>
        <w:jc w:val="both"/>
        <w:rPr>
          <w:color w:val="000000"/>
        </w:rPr>
      </w:pPr>
      <w:r>
        <w:rPr>
          <w:color w:val="000000" w:themeColor="text1"/>
          <w:highlight w:val="none"/>
          <w:u w:val="none"/>
        </w:rPr>
        <w:t xml:space="preserve">согласно приказу от </w:t>
      </w:r>
      <w:hyperlink r:id="rId21" w:tooltip="http://10.11.2020" w:history="1">
        <w:r>
          <w:rPr>
            <w:rStyle w:val="916"/>
            <w:color w:val="000000" w:themeColor="text1"/>
            <w:highlight w:val="none"/>
            <w:u w:val="none"/>
          </w:rPr>
          <w:t xml:space="preserve">10.11.2020</w:t>
        </w:r>
      </w:hyperlink>
      <w:r>
        <w:rPr>
          <w:color w:val="000000" w:themeColor="text1"/>
          <w:highlight w:val="none"/>
          <w:u w:val="none"/>
        </w:rPr>
        <w:t xml:space="preserve"> № 51 Ерофоновой К.С. предоставлен учебный отпуск с </w:t>
      </w:r>
      <w:hyperlink r:id="rId22" w:tooltip="http://20.07.2020" w:history="1">
        <w:r>
          <w:rPr>
            <w:rStyle w:val="916"/>
            <w:color w:val="000000" w:themeColor="text1"/>
            <w:highlight w:val="none"/>
            <w:u w:val="none"/>
            <w:lang w:val="ru-RU"/>
          </w:rPr>
          <w:t xml:space="preserve">16.11.2020 по 05.12.2020, в табеле за указанный период проставлен код «У» вместо «ОУ»;</w:t>
        </w:r>
        <w:r>
          <w:rPr>
            <w:rStyle w:val="916"/>
            <w:color w:val="000000" w:themeColor="text1"/>
            <w:highlight w:val="none"/>
          </w:rPr>
        </w:r>
      </w:hyperlink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</w:rPr>
      </w:pPr>
      <w:r>
        <w:rPr>
          <w:color w:val="000000" w:themeColor="text1"/>
          <w:highlight w:val="none"/>
        </w:rPr>
        <w:tab/>
      </w:r>
      <w:r>
        <w:rPr>
          <w:color w:val="000000" w:themeColor="text1"/>
        </w:rPr>
        <w:t xml:space="preserve">2. </w:t>
      </w:r>
      <w:r>
        <w:rPr>
          <w:color w:val="000000" w:themeColor="text1"/>
        </w:rPr>
        <w:t xml:space="preserve">нарушения документального оформления первичных учетных докум</w:t>
      </w:r>
      <w:r>
        <w:rPr>
          <w:color w:val="000000" w:themeColor="text1"/>
        </w:rPr>
        <w:t xml:space="preserve">ентов (приказов об увольнении, заявление о предоставлении отпуска). При расторжении трудовых отношений с работником редакции, а именно отсутс</w:t>
      </w:r>
      <w:r>
        <w:rPr>
          <w:color w:val="000000" w:themeColor="text1"/>
        </w:rPr>
        <w:t xml:space="preserve">т</w:t>
      </w:r>
      <w:r>
        <w:rPr>
          <w:color w:val="000000" w:themeColor="text1"/>
        </w:rPr>
        <w:t xml:space="preserve">вуют</w:t>
      </w:r>
      <w:r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указания бухгалтерии на оплату компенсации за неиспользованный отпуск при увол</w:t>
      </w:r>
      <w:r>
        <w:rPr>
          <w:color w:val="000000" w:themeColor="text1"/>
        </w:rPr>
        <w:t xml:space="preserve">ь</w:t>
      </w:r>
      <w:r>
        <w:rPr>
          <w:color w:val="000000" w:themeColor="text1"/>
        </w:rPr>
        <w:t xml:space="preserve">нении сотрудников</w:t>
      </w:r>
      <w:r>
        <w:rPr>
          <w:color w:val="000000" w:themeColor="text1"/>
        </w:rPr>
        <w:t xml:space="preserve">,</w:t>
      </w:r>
      <w:r>
        <w:rPr>
          <w:color w:val="000000" w:themeColor="text1"/>
        </w:rPr>
        <w:t xml:space="preserve"> например,</w:t>
      </w:r>
      <w:r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заявление Зиновьевой Е.Р. от 18.05.2020, заявление Максимчук М.Н. от 16.07.2020, заявление Куракина А.В. от 24.06.2020, заявление Шестовой И.Л. от 24.07.2020. 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</w:rPr>
      </w:pPr>
      <w:r>
        <w:rPr>
          <w:b/>
          <w:i/>
          <w:color w:val="000000" w:themeColor="text1"/>
        </w:rPr>
        <w:t xml:space="preserve">Рекомендуем устранить отмеченные недостатки за 2020 год и оформлять первичные документы в соответствии с требованиями Трудового Кодекса Российской Федерации.</w:t>
      </w:r>
      <w:r>
        <w:rPr>
          <w:color w:val="000000" w:themeColor="text1"/>
        </w:rPr>
      </w:r>
      <w:r/>
    </w:p>
    <w:p>
      <w:pPr>
        <w:pStyle w:val="852"/>
        <w:ind w:left="0" w:firstLine="0"/>
        <w:jc w:val="both"/>
        <w:rPr>
          <w:color w:val="000000"/>
        </w:rPr>
      </w:pPr>
      <w:r>
        <w:rPr>
          <w:color w:val="000000" w:themeColor="text1"/>
        </w:rPr>
        <w:tab/>
        <w:t xml:space="preserve">3. факты излишне начисленной заработной платы в части выплаты премии, например:</w:t>
      </w:r>
      <w:r>
        <w:rPr>
          <w:color w:val="000000" w:themeColor="text1"/>
        </w:rPr>
      </w:r>
      <w:r/>
    </w:p>
    <w:p>
      <w:pPr>
        <w:pStyle w:val="852"/>
        <w:numPr>
          <w:ilvl w:val="0"/>
          <w:numId w:val="17"/>
        </w:numPr>
        <w:jc w:val="both"/>
        <w:rPr>
          <w:color w:val="000000"/>
        </w:rPr>
      </w:pPr>
      <w:r>
        <w:rPr>
          <w:color w:val="000000" w:themeColor="text1"/>
        </w:rPr>
        <w:t xml:space="preserve">согласно приказу  информационно - аналитического управления Костромской области от 11.09.2020 № 68 Довгопостол С.Ю. был предоставлен отпуск с 17.09.2020 по </w:t>
      </w:r>
      <w:hyperlink r:id="rId23" w:tooltip="http://31.09.2020" w:history="1">
        <w:r>
          <w:rPr>
            <w:rStyle w:val="916"/>
            <w:color w:val="000000" w:themeColor="text1"/>
            <w:u w:val="none"/>
          </w:rPr>
          <w:t xml:space="preserve">31.09.2020</w:t>
        </w:r>
        <w:r>
          <w:rPr>
            <w:rStyle w:val="916"/>
            <w:color w:val="000000" w:themeColor="text1"/>
            <w:u w:val="none"/>
            <w:lang w:val="ru-RU"/>
          </w:rPr>
          <w:t xml:space="preserve">. С</w:t>
        </w:r>
      </w:hyperlink>
      <w:r>
        <w:rPr>
          <w:color w:val="000000" w:themeColor="text1"/>
        </w:rPr>
        <w:t xml:space="preserve">огласно приказу  информационно - аналитического управления Костромской области от .09.2020 №  Довгопостол С.Ю.  за сентябрь 2020 г. </w:t>
      </w:r>
      <w:r>
        <w:rPr>
          <w:color w:val="000000" w:themeColor="text1"/>
        </w:rPr>
        <w:t xml:space="preserve">должна быть начислена премия в сумме 8 470,56 руб. (за фактически отработанное время- 12 000: 17 рабочих дней в сентябре 2020*12 фактич. отработ. дней), в редакции начислена 12 000 руб.</w:t>
      </w:r>
      <w:r>
        <w:rPr>
          <w:color w:val="000000" w:themeColor="text1"/>
        </w:rPr>
      </w:r>
      <w:r/>
    </w:p>
    <w:p>
      <w:pPr>
        <w:pStyle w:val="852"/>
        <w:ind w:left="0" w:right="0" w:firstLine="709"/>
        <w:jc w:val="both"/>
        <w:rPr>
          <w:b/>
          <w:i/>
          <w:color w:val="000000"/>
        </w:rPr>
      </w:pPr>
      <w:r>
        <w:rPr>
          <w:color w:val="000000" w:themeColor="text1"/>
          <w:highlight w:val="none"/>
        </w:rPr>
      </w:r>
      <w:r>
        <w:rPr>
          <w:b/>
          <w:i/>
          <w:color w:val="000000" w:themeColor="text1"/>
        </w:rPr>
        <w:t xml:space="preserve">Рекомендуем удержать излишне начисленную сумму заработной платы по заявлению сотрудника и не допускать впредь данное нарушение.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</w:rPr>
      </w:pPr>
      <w:r>
        <w:rPr>
          <w:color w:val="000000" w:themeColor="text1"/>
        </w:rPr>
      </w:r>
      <w:r>
        <w:rPr>
          <w:color w:val="000000" w:themeColor="text1"/>
        </w:rPr>
      </w:r>
      <w:r/>
    </w:p>
    <w:p>
      <w:pPr>
        <w:pStyle w:val="852"/>
        <w:ind w:firstLine="540"/>
        <w:jc w:val="center"/>
        <w:rPr>
          <w:b/>
          <w:color w:val="000000"/>
        </w:rPr>
      </w:pPr>
      <w:r>
        <w:rPr>
          <w:b/>
          <w:color w:val="000000" w:themeColor="text1"/>
        </w:rPr>
        <w:t xml:space="preserve">Проверка правильности отражения операций </w:t>
      </w:r>
      <w:r>
        <w:rPr>
          <w:color w:val="000000" w:themeColor="text1"/>
        </w:rPr>
      </w:r>
      <w:r/>
    </w:p>
    <w:p>
      <w:pPr>
        <w:pStyle w:val="852"/>
        <w:ind w:firstLine="540"/>
        <w:jc w:val="center"/>
        <w:rPr>
          <w:b/>
          <w:color w:val="000000"/>
          <w:highlight w:val="none"/>
        </w:rPr>
      </w:pPr>
      <w:r>
        <w:rPr>
          <w:b/>
          <w:color w:val="000000" w:themeColor="text1"/>
        </w:rPr>
        <w:t xml:space="preserve">по выбытию и перемещению нефинансовых активов</w:t>
      </w:r>
      <w:r>
        <w:rPr>
          <w:color w:val="000000" w:themeColor="text1"/>
        </w:rPr>
      </w:r>
      <w:r/>
    </w:p>
    <w:p>
      <w:pPr>
        <w:pStyle w:val="852"/>
        <w:ind w:firstLine="540"/>
        <w:jc w:val="center"/>
        <w:rPr>
          <w:b/>
          <w:color w:val="000000"/>
        </w:rPr>
      </w:pPr>
      <w:r>
        <w:rPr>
          <w:b/>
          <w:color w:val="000000" w:themeColor="text1"/>
          <w:highlight w:val="none"/>
        </w:rPr>
      </w:r>
      <w:r>
        <w:rPr>
          <w:b/>
          <w:color w:val="000000" w:themeColor="text1"/>
          <w:highlight w:val="none"/>
        </w:rPr>
      </w:r>
      <w:r/>
    </w:p>
    <w:p>
      <w:pPr>
        <w:pStyle w:val="85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Для обобщения информации о выбытии и перемещении нефинансовых активов применяются счета 101 «Основные средства», 104 «Амортизация», 105 «Материальные запасы», 105.07 «Гот</w:t>
      </w:r>
      <w:r>
        <w:rPr>
          <w:color w:val="000000" w:themeColor="text1"/>
        </w:rPr>
        <w:t xml:space="preserve">о</w:t>
      </w:r>
      <w:r>
        <w:rPr>
          <w:color w:val="000000" w:themeColor="text1"/>
        </w:rPr>
        <w:t xml:space="preserve">вая продукция», операции отражаются в журнале – операций № 7 «Выбытие и перемещение н</w:t>
      </w:r>
      <w:r>
        <w:rPr>
          <w:color w:val="000000" w:themeColor="text1"/>
        </w:rPr>
        <w:t xml:space="preserve">е</w:t>
      </w:r>
      <w:r>
        <w:rPr>
          <w:color w:val="000000" w:themeColor="text1"/>
        </w:rPr>
        <w:t xml:space="preserve">финансовых активов».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Для проверки представлены: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1.Журнал – операций № 7 «Выбытие и перемещение нефинансовых активов»;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2.Ведомости выдачи материальных запасов на нужды учреждения;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3. Путевые листы;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4. Акты на списание</w:t>
      </w:r>
      <w:r>
        <w:rPr>
          <w:color w:val="000000" w:themeColor="text1"/>
        </w:rPr>
        <w:t xml:space="preserve"> материальных ценностей.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</w:rPr>
      </w:pPr>
      <w:r>
        <w:rPr>
          <w:b/>
          <w:i/>
          <w:color w:val="000000" w:themeColor="text1"/>
        </w:rPr>
        <w:t xml:space="preserve">На данном участке учёта нарушений не  выявлено.</w:t>
      </w:r>
      <w:r>
        <w:rPr>
          <w:color w:val="000000" w:themeColor="text1"/>
        </w:rPr>
      </w:r>
      <w:r/>
    </w:p>
    <w:p>
      <w:pPr>
        <w:pStyle w:val="852"/>
        <w:ind w:firstLine="540"/>
        <w:jc w:val="center"/>
        <w:rPr>
          <w:b/>
          <w:color w:val="000000"/>
        </w:rPr>
      </w:pPr>
      <w:r>
        <w:rPr>
          <w:b/>
          <w:color w:val="000000" w:themeColor="text1"/>
        </w:rPr>
      </w:r>
      <w:r>
        <w:rPr>
          <w:color w:val="000000" w:themeColor="text1"/>
        </w:rPr>
      </w:r>
      <w:r/>
    </w:p>
    <w:p>
      <w:pPr>
        <w:pStyle w:val="852"/>
        <w:ind w:firstLine="540"/>
        <w:jc w:val="center"/>
        <w:rPr>
          <w:b/>
          <w:color w:val="000000"/>
        </w:rPr>
      </w:pPr>
      <w:r>
        <w:rPr>
          <w:b/>
          <w:color w:val="000000" w:themeColor="text1"/>
        </w:rPr>
      </w:r>
      <w:r>
        <w:rPr>
          <w:color w:val="000000" w:themeColor="text1"/>
        </w:rPr>
      </w:r>
      <w:r/>
    </w:p>
    <w:p>
      <w:pPr>
        <w:pStyle w:val="852"/>
        <w:ind w:firstLine="540"/>
        <w:jc w:val="center"/>
        <w:rPr>
          <w:b/>
          <w:color w:val="000000"/>
        </w:rPr>
      </w:pPr>
      <w:r>
        <w:rPr>
          <w:b/>
          <w:color w:val="000000" w:themeColor="text1"/>
        </w:rPr>
      </w:r>
      <w:r>
        <w:rPr>
          <w:color w:val="000000" w:themeColor="text1"/>
        </w:rPr>
      </w:r>
      <w:r/>
    </w:p>
    <w:p>
      <w:pPr>
        <w:pStyle w:val="852"/>
        <w:ind w:firstLine="540"/>
        <w:jc w:val="center"/>
        <w:rPr>
          <w:b/>
          <w:color w:val="000000"/>
        </w:rPr>
      </w:pPr>
      <w:r>
        <w:rPr>
          <w:b/>
          <w:color w:val="000000" w:themeColor="text1"/>
        </w:rPr>
      </w:r>
      <w:r>
        <w:rPr>
          <w:color w:val="000000" w:themeColor="text1"/>
        </w:rPr>
      </w:r>
      <w:r/>
    </w:p>
    <w:p>
      <w:pPr>
        <w:pStyle w:val="852"/>
        <w:ind w:firstLine="540"/>
        <w:jc w:val="center"/>
        <w:rPr>
          <w:b/>
          <w:color w:val="000000"/>
        </w:rPr>
      </w:pPr>
      <w:r>
        <w:rPr>
          <w:b/>
          <w:color w:val="000000" w:themeColor="text1"/>
        </w:rPr>
      </w:r>
      <w:r>
        <w:rPr>
          <w:color w:val="000000" w:themeColor="text1"/>
        </w:rPr>
      </w:r>
      <w:r/>
    </w:p>
    <w:p>
      <w:pPr>
        <w:pStyle w:val="852"/>
        <w:ind w:firstLine="540"/>
        <w:jc w:val="center"/>
        <w:rPr>
          <w:b/>
          <w:color w:val="000000"/>
        </w:rPr>
      </w:pPr>
      <w:r>
        <w:rPr>
          <w:b/>
          <w:color w:val="000000" w:themeColor="text1"/>
        </w:rPr>
      </w:r>
      <w:r>
        <w:rPr>
          <w:color w:val="000000" w:themeColor="text1"/>
        </w:rPr>
      </w:r>
      <w:r/>
    </w:p>
    <w:p>
      <w:pPr>
        <w:pStyle w:val="852"/>
        <w:ind w:firstLine="540"/>
        <w:jc w:val="center"/>
        <w:rPr>
          <w:b/>
          <w:color w:val="000000"/>
        </w:rPr>
      </w:pPr>
      <w:r>
        <w:rPr>
          <w:b/>
          <w:color w:val="000000" w:themeColor="text1"/>
        </w:rPr>
      </w:r>
      <w:r>
        <w:rPr>
          <w:color w:val="000000" w:themeColor="text1"/>
        </w:rPr>
      </w:r>
      <w:r/>
    </w:p>
    <w:p>
      <w:pPr>
        <w:pStyle w:val="852"/>
        <w:ind w:firstLine="540"/>
        <w:jc w:val="center"/>
        <w:rPr>
          <w:b/>
          <w:color w:val="000000"/>
        </w:rPr>
      </w:pPr>
      <w:r>
        <w:rPr>
          <w:b/>
          <w:color w:val="000000" w:themeColor="text1"/>
        </w:rPr>
      </w:r>
      <w:r>
        <w:rPr>
          <w:color w:val="000000" w:themeColor="text1"/>
        </w:rPr>
      </w:r>
      <w:r/>
    </w:p>
    <w:p>
      <w:pPr>
        <w:pStyle w:val="852"/>
        <w:ind w:firstLine="540"/>
        <w:jc w:val="center"/>
        <w:rPr>
          <w:b/>
          <w:color w:val="000000"/>
        </w:rPr>
      </w:pPr>
      <w:r>
        <w:rPr>
          <w:b/>
          <w:color w:val="000000" w:themeColor="text1"/>
        </w:rPr>
      </w:r>
      <w:r>
        <w:rPr>
          <w:color w:val="000000" w:themeColor="text1"/>
        </w:rPr>
      </w:r>
      <w:r/>
    </w:p>
    <w:p>
      <w:pPr>
        <w:pStyle w:val="852"/>
        <w:ind w:firstLine="540"/>
        <w:jc w:val="center"/>
        <w:rPr>
          <w:b/>
          <w:color w:val="000000"/>
        </w:rPr>
      </w:pPr>
      <w:r>
        <w:rPr>
          <w:b/>
          <w:color w:val="000000" w:themeColor="text1"/>
        </w:rPr>
      </w:r>
      <w:r>
        <w:rPr>
          <w:color w:val="000000" w:themeColor="text1"/>
        </w:rPr>
      </w:r>
      <w:r/>
    </w:p>
    <w:p>
      <w:pPr>
        <w:pStyle w:val="852"/>
        <w:ind w:firstLine="540"/>
        <w:jc w:val="center"/>
        <w:rPr>
          <w:b/>
          <w:color w:val="000000"/>
        </w:rPr>
      </w:pPr>
      <w:r>
        <w:rPr>
          <w:b/>
          <w:color w:val="000000" w:themeColor="text1"/>
        </w:rPr>
      </w:r>
      <w:r>
        <w:rPr>
          <w:color w:val="000000" w:themeColor="text1"/>
        </w:rPr>
      </w:r>
      <w:r/>
    </w:p>
    <w:p>
      <w:pPr>
        <w:pStyle w:val="852"/>
        <w:ind w:firstLine="540"/>
        <w:jc w:val="center"/>
        <w:rPr>
          <w:b/>
          <w:color w:val="000000"/>
        </w:rPr>
      </w:pPr>
      <w:r>
        <w:rPr>
          <w:b/>
          <w:color w:val="000000" w:themeColor="text1"/>
        </w:rPr>
      </w:r>
      <w:r>
        <w:rPr>
          <w:color w:val="000000" w:themeColor="text1"/>
        </w:rPr>
      </w:r>
      <w:r/>
    </w:p>
    <w:p>
      <w:pPr>
        <w:pStyle w:val="852"/>
        <w:ind w:firstLine="540"/>
        <w:jc w:val="center"/>
        <w:rPr>
          <w:b/>
          <w:color w:val="000000"/>
        </w:rPr>
      </w:pPr>
      <w:r>
        <w:rPr>
          <w:b/>
          <w:color w:val="000000" w:themeColor="text1"/>
        </w:rPr>
      </w:r>
      <w:r>
        <w:rPr>
          <w:color w:val="000000" w:themeColor="text1"/>
        </w:rPr>
      </w:r>
      <w:r/>
    </w:p>
    <w:p>
      <w:pPr>
        <w:pStyle w:val="852"/>
        <w:ind w:firstLine="540"/>
        <w:jc w:val="center"/>
        <w:rPr>
          <w:b/>
          <w:color w:val="000000"/>
        </w:rPr>
      </w:pPr>
      <w:r>
        <w:rPr>
          <w:b/>
          <w:color w:val="000000" w:themeColor="text1"/>
        </w:rPr>
      </w:r>
      <w:r>
        <w:rPr>
          <w:b/>
          <w:color w:val="000000" w:themeColor="text1"/>
        </w:rPr>
      </w:r>
      <w:r/>
    </w:p>
    <w:p>
      <w:pPr>
        <w:pStyle w:val="852"/>
        <w:ind w:firstLine="540"/>
        <w:jc w:val="center"/>
        <w:rPr>
          <w:b/>
          <w:color w:val="000000"/>
        </w:rPr>
      </w:pPr>
      <w:r>
        <w:rPr>
          <w:b/>
          <w:color w:val="000000" w:themeColor="text1"/>
        </w:rPr>
        <w:t xml:space="preserve">Заключительная часть</w:t>
      </w:r>
      <w:r>
        <w:rPr>
          <w:color w:val="000000" w:themeColor="text1"/>
        </w:rPr>
      </w:r>
      <w:r/>
    </w:p>
    <w:p>
      <w:pPr>
        <w:pStyle w:val="852"/>
        <w:ind w:firstLine="540"/>
        <w:jc w:val="center"/>
        <w:rPr>
          <w:b/>
          <w:color w:val="000000"/>
        </w:rPr>
      </w:pPr>
      <w:r>
        <w:rPr>
          <w:b/>
          <w:color w:val="000000" w:themeColor="text1"/>
        </w:rPr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В ходе проверки за 2020</w:t>
      </w:r>
      <w:r>
        <w:rPr>
          <w:color w:val="000000" w:themeColor="text1"/>
        </w:rPr>
        <w:t xml:space="preserve"> год выявлен</w:t>
      </w:r>
      <w:r>
        <w:rPr>
          <w:color w:val="000000" w:themeColor="text1"/>
        </w:rPr>
        <w:t xml:space="preserve">ы</w:t>
      </w:r>
      <w:r>
        <w:rPr>
          <w:color w:val="000000" w:themeColor="text1"/>
        </w:rPr>
        <w:t xml:space="preserve">: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1. нарушение </w:t>
      </w: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"consultantplus://offline/ref=E8D0AD034381026843D6BD3486D91B1300329E33C5DCE279F6B3F29B927489AD5202F1A97C40F1EE5720CBA635D2B706D06443D2365E2A11ODX7M"</w:instrText>
      </w:r>
      <w:r>
        <w:rPr>
          <w:color w:val="000000" w:themeColor="text1"/>
        </w:rPr>
        <w:fldChar w:fldCharType="separate"/>
      </w:r>
      <w:r>
        <w:rPr>
          <w:rStyle w:val="916"/>
          <w:color w:val="000000" w:themeColor="text1"/>
          <w:u w:val="none"/>
        </w:rPr>
        <w:t xml:space="preserve">пунктов 6</w:t>
      </w:r>
      <w:r>
        <w:rPr>
          <w:color w:val="000000" w:themeColor="text1"/>
        </w:rPr>
        <w:fldChar w:fldCharType="end"/>
      </w:r>
      <w:r>
        <w:rPr>
          <w:color w:val="000000" w:themeColor="text1"/>
        </w:rPr>
        <w:t xml:space="preserve">, 302.1 Инструкции по применению Единого </w:t>
      </w: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"consultantplus://offline/ref=58270717226EDAB794BC36B28A3E69392382DDB826C230B63EDA1A3E60158058FED344D367DCEF01F53EF20BBDD878F3304515B824D4F8F0z0YDM"</w:instrText>
      </w:r>
      <w:r>
        <w:rPr>
          <w:color w:val="000000" w:themeColor="text1"/>
        </w:rPr>
        <w:fldChar w:fldCharType="separate"/>
      </w:r>
      <w:r>
        <w:rPr>
          <w:rStyle w:val="916"/>
          <w:color w:val="000000" w:themeColor="text1"/>
          <w:u w:val="none"/>
        </w:rPr>
        <w:t xml:space="preserve">плана</w:t>
      </w:r>
      <w:r>
        <w:rPr>
          <w:color w:val="000000" w:themeColor="text1"/>
        </w:rPr>
        <w:fldChar w:fldCharType="end"/>
      </w:r>
      <w:r>
        <w:rPr>
          <w:color w:val="000000" w:themeColor="text1"/>
        </w:rPr>
        <w:t xml:space="preserve"> счетов бухгалте</w:t>
      </w:r>
      <w:r>
        <w:rPr>
          <w:color w:val="000000" w:themeColor="text1"/>
        </w:rPr>
        <w:t xml:space="preserve">р</w:t>
      </w:r>
      <w:r>
        <w:rPr>
          <w:color w:val="000000" w:themeColor="text1"/>
        </w:rPr>
        <w:t xml:space="preserve">ского учёта для органов государственной власти (государственных органов), органов местного с</w:t>
      </w:r>
      <w:r>
        <w:rPr>
          <w:color w:val="000000" w:themeColor="text1"/>
        </w:rPr>
        <w:t xml:space="preserve">а</w:t>
      </w:r>
      <w:r>
        <w:rPr>
          <w:color w:val="000000" w:themeColor="text1"/>
        </w:rPr>
        <w:t xml:space="preserve">моуправления, органов управления государственными внебюджетными фондами, госу</w:t>
      </w:r>
      <w:r>
        <w:rPr>
          <w:color w:val="000000" w:themeColor="text1"/>
        </w:rPr>
        <w:t xml:space="preserve">дарстве</w:t>
      </w:r>
      <w:r>
        <w:rPr>
          <w:color w:val="000000" w:themeColor="text1"/>
        </w:rPr>
        <w:t xml:space="preserve">н</w:t>
      </w:r>
      <w:r>
        <w:rPr>
          <w:color w:val="000000" w:themeColor="text1"/>
        </w:rPr>
        <w:t xml:space="preserve">ных академий наук, государственных (муниципальных) учреждений, утверждённой приказом Минфина России от 01.12.2010 года №157н</w:t>
      </w:r>
      <w:r>
        <w:rPr>
          <w:color w:val="000000" w:themeColor="text1"/>
        </w:rPr>
        <w:t xml:space="preserve">;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2. нар</w:t>
      </w:r>
      <w:r>
        <w:rPr>
          <w:color w:val="000000" w:themeColor="text1"/>
        </w:rPr>
        <w:t xml:space="preserve">ушения ст.9 Федерального Закона от 06.12.2011 № 402-ФЗ « О бухгалтерском учете» при оприходовании наличных денежных средств в кассу от физического лица в приходных кассовых ордерах в графе «Принято от» должно указываться Ф.И.О. физическ</w:t>
      </w:r>
      <w:r>
        <w:rPr>
          <w:color w:val="000000" w:themeColor="text1"/>
        </w:rPr>
        <w:t xml:space="preserve">о</w:t>
      </w:r>
      <w:r>
        <w:rPr>
          <w:color w:val="000000" w:themeColor="text1"/>
        </w:rPr>
        <w:t xml:space="preserve">го лица, от которого приняты денежные средства. На протяжении всего проверяемого периода в ОГБУ «Редакция газеты «</w:t>
      </w:r>
      <w:r>
        <w:rPr>
          <w:color w:val="000000" w:themeColor="text1"/>
        </w:rPr>
        <w:t xml:space="preserve">Парфеньевский вестник</w:t>
      </w:r>
      <w:r>
        <w:rPr>
          <w:color w:val="000000" w:themeColor="text1"/>
        </w:rPr>
        <w:t xml:space="preserve">» в вышеуказанной графе заполнено «население»</w:t>
      </w:r>
      <w:r>
        <w:rPr>
          <w:color w:val="000000" w:themeColor="text1"/>
        </w:rPr>
        <w:t xml:space="preserve">;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rFonts w:ascii="Times New Roman" w:hAnsi="Times New Roman" w:cs="Times New Roman" w:eastAsia="Times New Roman"/>
          <w:b w:val="false"/>
          <w:color w:val="000000"/>
          <w:sz w:val="24"/>
          <w:highlight w:val="none"/>
        </w:rPr>
      </w:pPr>
      <w:r>
        <w:rPr>
          <w:rFonts w:ascii="Times New Roman" w:hAnsi="Times New Roman" w:cs="Times New Roman" w:eastAsia="Times New Roman"/>
          <w:b w:val="false"/>
          <w:color w:val="000000" w:themeColor="text1"/>
          <w:sz w:val="24"/>
          <w:highlight w:val="none"/>
        </w:rPr>
      </w:r>
      <w:r>
        <w:rPr>
          <w:color w:val="000000" w:themeColor="text1"/>
        </w:rPr>
        <w:t xml:space="preserve">3. </w:t>
      </w:r>
      <w:r>
        <w:rPr>
          <w:color w:val="000000" w:themeColor="text1"/>
        </w:rPr>
        <w:t xml:space="preserve">нарушение п. 4 ст. 709 Гражданского кодекса РФ</w:t>
      </w:r>
      <w:r>
        <w:rPr>
          <w:color w:val="000000" w:themeColor="text1"/>
        </w:rPr>
        <w:t xml:space="preserve">;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4.</w:t>
      </w:r>
      <w:r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наруш</w:t>
      </w:r>
      <w:r>
        <w:rPr>
          <w:color w:val="000000" w:themeColor="text1"/>
        </w:rPr>
        <w:t xml:space="preserve">ения ст.9,10</w:t>
      </w:r>
      <w:r>
        <w:rPr>
          <w:color w:val="000000" w:themeColor="text1"/>
        </w:rPr>
        <w:t xml:space="preserve"> Федерального Закона от 06.12.2011 № 402-ФЗ « О бухгалтерском уч</w:t>
      </w:r>
      <w:r>
        <w:rPr>
          <w:color w:val="000000" w:themeColor="text1"/>
        </w:rPr>
        <w:t xml:space="preserve">е</w:t>
      </w:r>
      <w:r>
        <w:rPr>
          <w:color w:val="000000" w:themeColor="text1"/>
        </w:rPr>
        <w:t xml:space="preserve">те» </w:t>
      </w:r>
      <w:r>
        <w:rPr>
          <w:color w:val="000000" w:themeColor="text1"/>
        </w:rPr>
        <w:t xml:space="preserve">в части документального оформления </w:t>
      </w:r>
      <w:r>
        <w:rPr>
          <w:color w:val="000000" w:themeColor="text1"/>
        </w:rPr>
        <w:t xml:space="preserve">при расчетах с </w:t>
      </w:r>
      <w:r>
        <w:rPr>
          <w:color w:val="000000" w:themeColor="text1"/>
        </w:rPr>
        <w:t xml:space="preserve">дебиторами по дох</w:t>
      </w:r>
      <w:r>
        <w:rPr>
          <w:color w:val="000000" w:themeColor="text1"/>
        </w:rPr>
        <w:t xml:space="preserve">о</w:t>
      </w:r>
      <w:r>
        <w:rPr>
          <w:color w:val="000000" w:themeColor="text1"/>
        </w:rPr>
        <w:t xml:space="preserve">дам, а также с поставщиками и подрядчиками;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5. </w:t>
      </w:r>
      <w:r>
        <w:rPr>
          <w:color w:val="000000" w:themeColor="text1"/>
        </w:rPr>
        <w:t xml:space="preserve">нарушения документального оформления первичных учетных докум</w:t>
      </w:r>
      <w:r>
        <w:rPr>
          <w:color w:val="000000" w:themeColor="text1"/>
        </w:rPr>
        <w:t xml:space="preserve">ентов по учету заработной платы в части неправильного проставления условного обозначения в табеле рабочего времени, </w:t>
      </w:r>
      <w:r>
        <w:rPr>
          <w:color w:val="000000" w:themeColor="text1"/>
        </w:rPr>
        <w:t xml:space="preserve">оформления </w:t>
      </w:r>
      <w:r>
        <w:rPr>
          <w:color w:val="000000" w:themeColor="text1"/>
        </w:rPr>
        <w:t xml:space="preserve">приказов об увольнении, заявлений о предоставлении отпуска;</w:t>
      </w:r>
      <w:r>
        <w:rPr>
          <w:color w:val="000000" w:themeColor="text1"/>
        </w:rPr>
      </w:r>
      <w:r/>
    </w:p>
    <w:p>
      <w:pPr>
        <w:pStyle w:val="852"/>
        <w:ind w:left="0" w:firstLine="0"/>
        <w:jc w:val="both"/>
        <w:rPr>
          <w:color w:val="000000"/>
        </w:rPr>
      </w:pPr>
      <w:r>
        <w:rPr>
          <w:color w:val="000000" w:themeColor="text1"/>
        </w:rPr>
        <w:t xml:space="preserve">         6. факты излишне начисленной заработной платы в части выплаты премии.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</w:rPr>
      </w:pPr>
      <w:r>
        <w:rPr>
          <w:color w:val="000000" w:themeColor="text1"/>
        </w:rPr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Все замечания и нарушения, выявленные в ходе проверки учесть и устранить. На указанных участках </w:t>
      </w:r>
      <w:r>
        <w:rPr>
          <w:color w:val="000000" w:themeColor="text1"/>
        </w:rPr>
        <w:t xml:space="preserve">учета восстановить бухгалте</w:t>
      </w:r>
      <w:r>
        <w:rPr>
          <w:color w:val="000000" w:themeColor="text1"/>
        </w:rPr>
        <w:t xml:space="preserve">рский учет в соответствии с требованиями законодательства Российской Федерации. Информацию по устраненным нарушениям и замечаниям представить в сектор экономики и финансов департамента информационной политики, анализа и развития коммуникационных ресурсов К</w:t>
      </w:r>
      <w:r>
        <w:rPr>
          <w:color w:val="000000" w:themeColor="text1"/>
        </w:rPr>
        <w:t xml:space="preserve">о</w:t>
      </w:r>
      <w:r>
        <w:rPr>
          <w:color w:val="000000" w:themeColor="text1"/>
        </w:rPr>
        <w:t xml:space="preserve">стромской области до 06 августа</w:t>
      </w:r>
      <w:r>
        <w:rPr>
          <w:color w:val="000000" w:themeColor="text1"/>
        </w:rPr>
        <w:t xml:space="preserve"> 2021</w:t>
      </w:r>
      <w:r>
        <w:rPr>
          <w:color w:val="000000" w:themeColor="text1"/>
        </w:rPr>
        <w:t xml:space="preserve"> года.</w:t>
      </w:r>
      <w:r>
        <w:rPr>
          <w:color w:val="000000" w:themeColor="text1"/>
        </w:rPr>
      </w:r>
      <w:r/>
    </w:p>
    <w:p>
      <w:pPr>
        <w:pStyle w:val="852"/>
        <w:jc w:val="both"/>
        <w:rPr>
          <w:color w:val="000000"/>
        </w:rPr>
      </w:pPr>
      <w:r>
        <w:rPr>
          <w:color w:val="000000" w:themeColor="text1"/>
        </w:rPr>
      </w:r>
      <w:r>
        <w:rPr>
          <w:color w:val="000000" w:themeColor="text1"/>
        </w:rPr>
      </w:r>
      <w:r/>
    </w:p>
    <w:p>
      <w:pPr>
        <w:pStyle w:val="852"/>
        <w:jc w:val="both"/>
        <w:rPr>
          <w:color w:val="000000"/>
        </w:rPr>
      </w:pPr>
      <w:r>
        <w:rPr>
          <w:color w:val="000000" w:themeColor="text1"/>
        </w:rPr>
      </w:r>
      <w:r>
        <w:rPr>
          <w:color w:val="000000" w:themeColor="text1"/>
        </w:rPr>
      </w:r>
      <w:r/>
    </w:p>
    <w:p>
      <w:pPr>
        <w:pStyle w:val="852"/>
        <w:jc w:val="both"/>
        <w:rPr>
          <w:color w:val="000000"/>
        </w:rPr>
      </w:pPr>
      <w:r>
        <w:rPr>
          <w:color w:val="000000" w:themeColor="text1"/>
        </w:rPr>
        <w:t xml:space="preserve">Директор департамента информационной                </w:t>
      </w:r>
      <w:r>
        <w:rPr>
          <w:color w:val="000000" w:themeColor="text1"/>
        </w:rPr>
        <w:t xml:space="preserve"> Р</w:t>
      </w:r>
      <w:r>
        <w:rPr>
          <w:color w:val="000000" w:themeColor="text1"/>
        </w:rPr>
        <w:t xml:space="preserve">едактор ОГБУ «Редакция газеты</w:t>
      </w:r>
      <w:r>
        <w:rPr>
          <w:color w:val="000000" w:themeColor="text1"/>
        </w:rPr>
      </w:r>
      <w:r/>
    </w:p>
    <w:p>
      <w:pPr>
        <w:pStyle w:val="852"/>
        <w:jc w:val="both"/>
        <w:rPr>
          <w:color w:val="000000"/>
        </w:rPr>
      </w:pPr>
      <w:r>
        <w:rPr>
          <w:color w:val="000000" w:themeColor="text1"/>
        </w:rPr>
        <w:t xml:space="preserve">политики, анализа и развития коммуникационных  «</w:t>
      </w:r>
      <w:r>
        <w:rPr>
          <w:color w:val="000000" w:themeColor="text1"/>
        </w:rPr>
        <w:t xml:space="preserve">Парфеньевский вестник</w:t>
      </w:r>
      <w:r>
        <w:rPr>
          <w:color w:val="000000" w:themeColor="text1"/>
        </w:rPr>
        <w:t xml:space="preserve">»</w:t>
      </w:r>
      <w:r>
        <w:rPr>
          <w:color w:val="000000" w:themeColor="text1"/>
        </w:rPr>
      </w:r>
      <w:r/>
    </w:p>
    <w:p>
      <w:pPr>
        <w:pStyle w:val="852"/>
        <w:jc w:val="both"/>
        <w:rPr>
          <w:color w:val="000000"/>
        </w:rPr>
      </w:pPr>
      <w:r>
        <w:rPr>
          <w:color w:val="000000" w:themeColor="text1"/>
        </w:rPr>
        <w:t xml:space="preserve">ресурсов Костромской области</w:t>
      </w:r>
      <w:r>
        <w:rPr>
          <w:color w:val="000000" w:themeColor="text1"/>
        </w:rPr>
      </w:r>
      <w:r/>
    </w:p>
    <w:p>
      <w:pPr>
        <w:pStyle w:val="852"/>
        <w:jc w:val="both"/>
        <w:rPr>
          <w:color w:val="000000"/>
        </w:rPr>
      </w:pPr>
      <w:r>
        <w:rPr>
          <w:color w:val="000000" w:themeColor="text1"/>
        </w:rPr>
        <w:t xml:space="preserve">И.В.Жабко                                                                      С.Ю. Довгопостол</w:t>
      </w:r>
      <w:r>
        <w:rPr>
          <w:color w:val="000000" w:themeColor="text1"/>
        </w:rPr>
      </w:r>
      <w:r/>
    </w:p>
    <w:p>
      <w:pPr>
        <w:pStyle w:val="852"/>
        <w:jc w:val="both"/>
        <w:rPr>
          <w:color w:val="000000"/>
        </w:rPr>
      </w:pPr>
      <w:r>
        <w:rPr>
          <w:color w:val="000000" w:themeColor="text1"/>
        </w:rPr>
        <w:t xml:space="preserve">________________                                                         __________________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</w:rPr>
      </w:pPr>
      <w:r>
        <w:rPr>
          <w:color w:val="000000" w:themeColor="text1"/>
        </w:rPr>
      </w:r>
      <w:r>
        <w:rPr>
          <w:color w:val="000000" w:themeColor="text1"/>
        </w:rPr>
      </w:r>
      <w:r/>
    </w:p>
    <w:p>
      <w:pPr>
        <w:pStyle w:val="852"/>
        <w:jc w:val="both"/>
        <w:rPr>
          <w:color w:val="000000"/>
        </w:rPr>
      </w:pPr>
      <w:r>
        <w:rPr>
          <w:color w:val="000000" w:themeColor="text1"/>
        </w:rPr>
        <w:t xml:space="preserve">Заведующий сектором                                                  Главный бухгалтер ОГБУ «Редакция газеты</w:t>
      </w:r>
      <w:r>
        <w:rPr>
          <w:color w:val="000000" w:themeColor="text1"/>
        </w:rPr>
      </w:r>
      <w:r/>
    </w:p>
    <w:p>
      <w:pPr>
        <w:pStyle w:val="852"/>
        <w:jc w:val="both"/>
        <w:rPr>
          <w:color w:val="000000"/>
        </w:rPr>
      </w:pPr>
      <w:r>
        <w:rPr>
          <w:color w:val="000000" w:themeColor="text1"/>
        </w:rPr>
        <w:t xml:space="preserve">экономики и финансов                                                 «Парфеньевский вестник</w:t>
      </w:r>
      <w:r>
        <w:rPr>
          <w:color w:val="000000" w:themeColor="text1"/>
        </w:rPr>
        <w:t xml:space="preserve">»            </w:t>
      </w:r>
      <w:r>
        <w:rPr>
          <w:color w:val="000000" w:themeColor="text1"/>
        </w:rPr>
      </w:r>
      <w:r/>
    </w:p>
    <w:p>
      <w:pPr>
        <w:pStyle w:val="852"/>
        <w:jc w:val="both"/>
        <w:rPr>
          <w:color w:val="000000"/>
        </w:rPr>
      </w:pPr>
      <w:r>
        <w:rPr>
          <w:color w:val="000000" w:themeColor="text1"/>
        </w:rPr>
        <w:t xml:space="preserve">- главный бухгалтер</w:t>
      </w:r>
      <w:r>
        <w:rPr>
          <w:color w:val="000000" w:themeColor="text1"/>
        </w:rPr>
      </w:r>
      <w:r/>
    </w:p>
    <w:p>
      <w:pPr>
        <w:pStyle w:val="852"/>
        <w:jc w:val="both"/>
        <w:rPr>
          <w:color w:val="000000"/>
        </w:rPr>
      </w:pPr>
      <w:r>
        <w:rPr>
          <w:color w:val="000000" w:themeColor="text1"/>
        </w:rPr>
        <w:t xml:space="preserve">Н.Н. Попрядухина                                                         Н.Н.Чернышова</w:t>
      </w:r>
      <w:r>
        <w:rPr>
          <w:color w:val="000000" w:themeColor="text1"/>
        </w:rPr>
      </w:r>
      <w:r/>
    </w:p>
    <w:p>
      <w:pPr>
        <w:pStyle w:val="852"/>
        <w:jc w:val="both"/>
        <w:rPr>
          <w:color w:val="000000"/>
        </w:rPr>
      </w:pPr>
      <w:r>
        <w:rPr>
          <w:color w:val="000000" w:themeColor="text1"/>
        </w:rPr>
        <w:t xml:space="preserve">________________                                                        ________________</w:t>
      </w:r>
      <w:r>
        <w:rPr>
          <w:color w:val="000000" w:themeColor="text1"/>
        </w:rPr>
      </w:r>
      <w:r/>
    </w:p>
    <w:p>
      <w:pPr>
        <w:pStyle w:val="852"/>
        <w:jc w:val="both"/>
        <w:rPr>
          <w:color w:val="000000"/>
        </w:rPr>
      </w:pPr>
      <w:r>
        <w:rPr>
          <w:color w:val="000000" w:themeColor="text1"/>
        </w:rPr>
        <w:t xml:space="preserve">Консультант сектора экономики и финансов</w:t>
      </w:r>
      <w:r>
        <w:rPr>
          <w:color w:val="000000" w:themeColor="text1"/>
        </w:rPr>
      </w:r>
      <w:r/>
    </w:p>
    <w:p>
      <w:pPr>
        <w:pStyle w:val="852"/>
        <w:jc w:val="both"/>
        <w:rPr>
          <w:color w:val="000000"/>
        </w:rPr>
      </w:pPr>
      <w:r>
        <w:rPr>
          <w:color w:val="000000" w:themeColor="text1"/>
        </w:rPr>
        <w:t xml:space="preserve">С.В. Колчанова </w:t>
      </w:r>
      <w:r>
        <w:rPr>
          <w:color w:val="000000" w:themeColor="text1"/>
        </w:rPr>
      </w:r>
      <w:r/>
    </w:p>
    <w:p>
      <w:pPr>
        <w:pStyle w:val="852"/>
        <w:jc w:val="both"/>
        <w:rPr>
          <w:color w:val="000000"/>
        </w:rPr>
      </w:pPr>
      <w:r>
        <w:rPr>
          <w:color w:val="000000" w:themeColor="text1"/>
        </w:rPr>
        <w:t xml:space="preserve">__________________</w:t>
      </w:r>
      <w:r>
        <w:rPr>
          <w:color w:val="000000" w:themeColor="text1"/>
        </w:rPr>
      </w:r>
      <w:r/>
    </w:p>
    <w:sectPr>
      <w:footnotePr/>
      <w:endnotePr/>
      <w:type w:val="nextPage"/>
      <w:pgSz w:w="11906" w:h="16838" w:orient="portrait"/>
      <w:pgMar w:top="405" w:right="851" w:bottom="426" w:left="851" w:header="720" w:footer="72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Rule="auto" w:line="240" w:after="0"/>
      </w:pPr>
      <w:r>
        <w:separator/>
      </w:r>
      <w:r/>
    </w:p>
  </w:endnote>
  <w:endnote w:type="continuationSeparator" w:id="0">
    <w:p>
      <w:pPr>
        <w:spacing w:lineRule="auto" w:line="240" w:after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Tahoma">
    <w:panose1 w:val="020B0604030504040204"/>
  </w:font>
  <w:font w:name="Courier New">
    <w:panose1 w:val="02070309020205020404"/>
  </w:font>
  <w:font w:name="OpenSymbol">
    <w:panose1 w:val="05050102010706020507"/>
  </w:font>
  <w:font w:name="Symbol">
    <w:panose1 w:val="05050102010706020507"/>
  </w:font>
  <w:font w:name="Arial">
    <w:panose1 w:val="020B0604020202020204"/>
  </w:font>
  <w:font w:name="Microsoft YaHei">
    <w:panose1 w:val="020B0503020204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Rule="auto" w:line="240" w:after="0"/>
      </w:pPr>
      <w:r>
        <w:separator/>
      </w:r>
      <w:r/>
    </w:p>
  </w:footnote>
  <w:footnote w:type="continuationSeparator" w:id="0">
    <w:p>
      <w:pPr>
        <w:spacing w:lineRule="auto" w:line="240" w:after="0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pStyle w:val="852"/>
        <w:ind w:left="720" w:hanging="360"/>
        <w:tabs>
          <w:tab w:val="num" w:pos="720" w:leader="none"/>
        </w:tabs>
      </w:pPr>
      <w:rPr>
        <w:rFonts w:ascii="Symbol" w:hAnsi="Symbol"/>
        <w:color w:val="0000FF"/>
      </w:rPr>
    </w:lvl>
    <w:lvl w:ilvl="1">
      <w:start w:val="1"/>
      <w:numFmt w:val="bullet"/>
      <w:isLgl w:val="false"/>
      <w:suff w:val="tab"/>
      <w:lvlText w:val=""/>
      <w:lvlJc w:val="left"/>
      <w:pPr>
        <w:pStyle w:val="852"/>
        <w:ind w:left="1080" w:hanging="360"/>
        <w:tabs>
          <w:tab w:val="num" w:pos="1080" w:leader="none"/>
        </w:tabs>
      </w:pPr>
      <w:rPr>
        <w:rFonts w:ascii="Symbol" w:hAnsi="Symbol"/>
        <w:color w:val="0000FF"/>
      </w:rPr>
    </w:lvl>
    <w:lvl w:ilvl="2">
      <w:start w:val="1"/>
      <w:numFmt w:val="bullet"/>
      <w:isLgl w:val="false"/>
      <w:suff w:val="tab"/>
      <w:lvlText w:val=""/>
      <w:lvlJc w:val="left"/>
      <w:pPr>
        <w:pStyle w:val="852"/>
        <w:ind w:left="1440" w:hanging="360"/>
        <w:tabs>
          <w:tab w:val="num" w:pos="1440" w:leader="none"/>
        </w:tabs>
      </w:pPr>
      <w:rPr>
        <w:rFonts w:ascii="Symbol" w:hAnsi="Symbol"/>
        <w:color w:val="0000FF"/>
      </w:rPr>
    </w:lvl>
    <w:lvl w:ilvl="3">
      <w:start w:val="1"/>
      <w:numFmt w:val="bullet"/>
      <w:isLgl w:val="false"/>
      <w:suff w:val="tab"/>
      <w:lvlText w:val=""/>
      <w:lvlJc w:val="left"/>
      <w:pPr>
        <w:pStyle w:val="852"/>
        <w:ind w:left="1800" w:hanging="360"/>
        <w:tabs>
          <w:tab w:val="num" w:pos="1800" w:leader="none"/>
        </w:tabs>
      </w:pPr>
      <w:rPr>
        <w:rFonts w:ascii="Symbol" w:hAnsi="Symbol"/>
        <w:color w:val="0000FF"/>
      </w:rPr>
    </w:lvl>
    <w:lvl w:ilvl="4">
      <w:start w:val="1"/>
      <w:numFmt w:val="bullet"/>
      <w:isLgl w:val="false"/>
      <w:suff w:val="tab"/>
      <w:lvlText w:val=""/>
      <w:lvlJc w:val="left"/>
      <w:pPr>
        <w:pStyle w:val="852"/>
        <w:ind w:left="2160" w:hanging="360"/>
        <w:tabs>
          <w:tab w:val="num" w:pos="2160" w:leader="none"/>
        </w:tabs>
      </w:pPr>
      <w:rPr>
        <w:rFonts w:ascii="Symbol" w:hAnsi="Symbol"/>
        <w:color w:val="0000FF"/>
      </w:rPr>
    </w:lvl>
    <w:lvl w:ilvl="5">
      <w:start w:val="1"/>
      <w:numFmt w:val="bullet"/>
      <w:isLgl w:val="false"/>
      <w:suff w:val="tab"/>
      <w:lvlText w:val=""/>
      <w:lvlJc w:val="left"/>
      <w:pPr>
        <w:pStyle w:val="852"/>
        <w:ind w:left="2520" w:hanging="360"/>
        <w:tabs>
          <w:tab w:val="num" w:pos="2520" w:leader="none"/>
        </w:tabs>
      </w:pPr>
      <w:rPr>
        <w:rFonts w:ascii="Symbol" w:hAnsi="Symbol"/>
        <w:color w:val="0000FF"/>
      </w:rPr>
    </w:lvl>
    <w:lvl w:ilvl="6">
      <w:start w:val="1"/>
      <w:numFmt w:val="bullet"/>
      <w:isLgl w:val="false"/>
      <w:suff w:val="tab"/>
      <w:lvlText w:val=""/>
      <w:lvlJc w:val="left"/>
      <w:pPr>
        <w:pStyle w:val="852"/>
        <w:ind w:left="2880" w:hanging="360"/>
        <w:tabs>
          <w:tab w:val="num" w:pos="2880" w:leader="none"/>
        </w:tabs>
      </w:pPr>
      <w:rPr>
        <w:rFonts w:ascii="Symbol" w:hAnsi="Symbol"/>
        <w:color w:val="0000FF"/>
      </w:rPr>
    </w:lvl>
    <w:lvl w:ilvl="7">
      <w:start w:val="1"/>
      <w:numFmt w:val="bullet"/>
      <w:isLgl w:val="false"/>
      <w:suff w:val="tab"/>
      <w:lvlText w:val=""/>
      <w:lvlJc w:val="left"/>
      <w:pPr>
        <w:pStyle w:val="852"/>
        <w:ind w:left="3240" w:hanging="360"/>
        <w:tabs>
          <w:tab w:val="num" w:pos="3240" w:leader="none"/>
        </w:tabs>
      </w:pPr>
      <w:rPr>
        <w:rFonts w:ascii="Symbol" w:hAnsi="Symbol"/>
        <w:color w:val="0000FF"/>
      </w:rPr>
    </w:lvl>
    <w:lvl w:ilvl="8">
      <w:start w:val="1"/>
      <w:numFmt w:val="bullet"/>
      <w:isLgl w:val="false"/>
      <w:suff w:val="tab"/>
      <w:lvlText w:val=""/>
      <w:lvlJc w:val="left"/>
      <w:pPr>
        <w:pStyle w:val="852"/>
        <w:ind w:left="3600" w:hanging="360"/>
        <w:tabs>
          <w:tab w:val="num" w:pos="3600" w:leader="none"/>
        </w:tabs>
      </w:pPr>
      <w:rPr>
        <w:rFonts w:ascii="Symbol" w:hAnsi="Symbol"/>
        <w:color w:val="0000FF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pStyle w:val="852"/>
        <w:ind w:left="720" w:hanging="360"/>
        <w:tabs>
          <w:tab w:val="num" w:pos="72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"/>
      <w:lvlJc w:val="left"/>
      <w:pPr>
        <w:pStyle w:val="852"/>
        <w:ind w:left="1080" w:hanging="360"/>
        <w:tabs>
          <w:tab w:val="num" w:pos="1080" w:leader="none"/>
        </w:tabs>
      </w:pPr>
      <w:rPr>
        <w:rFonts w:ascii="Symbol" w:hAnsi="Symbol"/>
      </w:rPr>
    </w:lvl>
    <w:lvl w:ilvl="2">
      <w:start w:val="1"/>
      <w:numFmt w:val="bullet"/>
      <w:isLgl w:val="false"/>
      <w:suff w:val="tab"/>
      <w:lvlText w:val=""/>
      <w:lvlJc w:val="left"/>
      <w:pPr>
        <w:pStyle w:val="852"/>
        <w:ind w:left="1440" w:hanging="360"/>
        <w:tabs>
          <w:tab w:val="num" w:pos="1440" w:leader="none"/>
        </w:tabs>
      </w:pPr>
      <w:rPr>
        <w:rFonts w:ascii="Symbol" w:hAnsi="Symbol"/>
      </w:rPr>
    </w:lvl>
    <w:lvl w:ilvl="3">
      <w:start w:val="1"/>
      <w:numFmt w:val="bullet"/>
      <w:isLgl w:val="false"/>
      <w:suff w:val="tab"/>
      <w:lvlText w:val=""/>
      <w:lvlJc w:val="left"/>
      <w:pPr>
        <w:pStyle w:val="852"/>
        <w:ind w:left="1800" w:hanging="360"/>
        <w:tabs>
          <w:tab w:val="num" w:pos="180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"/>
      <w:lvlJc w:val="left"/>
      <w:pPr>
        <w:pStyle w:val="852"/>
        <w:ind w:left="2160" w:hanging="360"/>
        <w:tabs>
          <w:tab w:val="num" w:pos="2160" w:leader="none"/>
        </w:tabs>
      </w:pPr>
      <w:rPr>
        <w:rFonts w:ascii="Symbol" w:hAnsi="Symbol"/>
      </w:rPr>
    </w:lvl>
    <w:lvl w:ilvl="5">
      <w:start w:val="1"/>
      <w:numFmt w:val="bullet"/>
      <w:isLgl w:val="false"/>
      <w:suff w:val="tab"/>
      <w:lvlText w:val=""/>
      <w:lvlJc w:val="left"/>
      <w:pPr>
        <w:pStyle w:val="852"/>
        <w:ind w:left="2520" w:hanging="360"/>
        <w:tabs>
          <w:tab w:val="num" w:pos="2520" w:leader="none"/>
        </w:tabs>
      </w:pPr>
      <w:rPr>
        <w:rFonts w:ascii="Symbol" w:hAnsi="Symbol"/>
      </w:rPr>
    </w:lvl>
    <w:lvl w:ilvl="6">
      <w:start w:val="1"/>
      <w:numFmt w:val="bullet"/>
      <w:isLgl w:val="false"/>
      <w:suff w:val="tab"/>
      <w:lvlText w:val=""/>
      <w:lvlJc w:val="left"/>
      <w:pPr>
        <w:pStyle w:val="852"/>
        <w:ind w:left="2880" w:hanging="360"/>
        <w:tabs>
          <w:tab w:val="num" w:pos="288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"/>
      <w:lvlJc w:val="left"/>
      <w:pPr>
        <w:pStyle w:val="852"/>
        <w:ind w:left="3240" w:hanging="360"/>
        <w:tabs>
          <w:tab w:val="num" w:pos="3240" w:leader="none"/>
        </w:tabs>
      </w:pPr>
      <w:rPr>
        <w:rFonts w:ascii="Symbol" w:hAnsi="Symbol"/>
      </w:rPr>
    </w:lvl>
    <w:lvl w:ilvl="8">
      <w:start w:val="1"/>
      <w:numFmt w:val="bullet"/>
      <w:isLgl w:val="false"/>
      <w:suff w:val="tab"/>
      <w:lvlText w:val=""/>
      <w:lvlJc w:val="left"/>
      <w:pPr>
        <w:pStyle w:val="852"/>
        <w:ind w:left="3600" w:hanging="360"/>
        <w:tabs>
          <w:tab w:val="num" w:pos="3600" w:leader="none"/>
        </w:tabs>
      </w:pPr>
      <w:rPr>
        <w:rFonts w:ascii="Symbol" w:hAnsi="Symbol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pStyle w:val="852"/>
        <w:ind w:left="720" w:hanging="360"/>
        <w:tabs>
          <w:tab w:val="num" w:pos="72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"/>
      <w:lvlJc w:val="left"/>
      <w:pPr>
        <w:pStyle w:val="852"/>
        <w:ind w:left="1080" w:hanging="360"/>
        <w:tabs>
          <w:tab w:val="num" w:pos="1080" w:leader="none"/>
        </w:tabs>
      </w:pPr>
      <w:rPr>
        <w:rFonts w:ascii="Symbol" w:hAnsi="Symbol"/>
      </w:rPr>
    </w:lvl>
    <w:lvl w:ilvl="2">
      <w:start w:val="1"/>
      <w:numFmt w:val="bullet"/>
      <w:isLgl w:val="false"/>
      <w:suff w:val="tab"/>
      <w:lvlText w:val=""/>
      <w:lvlJc w:val="left"/>
      <w:pPr>
        <w:pStyle w:val="852"/>
        <w:ind w:left="1440" w:hanging="360"/>
        <w:tabs>
          <w:tab w:val="num" w:pos="1440" w:leader="none"/>
        </w:tabs>
      </w:pPr>
      <w:rPr>
        <w:rFonts w:ascii="Symbol" w:hAnsi="Symbol"/>
      </w:rPr>
    </w:lvl>
    <w:lvl w:ilvl="3">
      <w:start w:val="1"/>
      <w:numFmt w:val="bullet"/>
      <w:isLgl w:val="false"/>
      <w:suff w:val="tab"/>
      <w:lvlText w:val=""/>
      <w:lvlJc w:val="left"/>
      <w:pPr>
        <w:pStyle w:val="852"/>
        <w:ind w:left="1800" w:hanging="360"/>
        <w:tabs>
          <w:tab w:val="num" w:pos="180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"/>
      <w:lvlJc w:val="left"/>
      <w:pPr>
        <w:pStyle w:val="852"/>
        <w:ind w:left="2160" w:hanging="360"/>
        <w:tabs>
          <w:tab w:val="num" w:pos="2160" w:leader="none"/>
        </w:tabs>
      </w:pPr>
      <w:rPr>
        <w:rFonts w:ascii="Symbol" w:hAnsi="Symbol"/>
      </w:rPr>
    </w:lvl>
    <w:lvl w:ilvl="5">
      <w:start w:val="1"/>
      <w:numFmt w:val="bullet"/>
      <w:isLgl w:val="false"/>
      <w:suff w:val="tab"/>
      <w:lvlText w:val=""/>
      <w:lvlJc w:val="left"/>
      <w:pPr>
        <w:pStyle w:val="852"/>
        <w:ind w:left="2520" w:hanging="360"/>
        <w:tabs>
          <w:tab w:val="num" w:pos="2520" w:leader="none"/>
        </w:tabs>
      </w:pPr>
      <w:rPr>
        <w:rFonts w:ascii="Symbol" w:hAnsi="Symbol"/>
      </w:rPr>
    </w:lvl>
    <w:lvl w:ilvl="6">
      <w:start w:val="1"/>
      <w:numFmt w:val="bullet"/>
      <w:isLgl w:val="false"/>
      <w:suff w:val="tab"/>
      <w:lvlText w:val=""/>
      <w:lvlJc w:val="left"/>
      <w:pPr>
        <w:pStyle w:val="852"/>
        <w:ind w:left="2880" w:hanging="360"/>
        <w:tabs>
          <w:tab w:val="num" w:pos="288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"/>
      <w:lvlJc w:val="left"/>
      <w:pPr>
        <w:pStyle w:val="852"/>
        <w:ind w:left="3240" w:hanging="360"/>
        <w:tabs>
          <w:tab w:val="num" w:pos="3240" w:leader="none"/>
        </w:tabs>
      </w:pPr>
      <w:rPr>
        <w:rFonts w:ascii="Symbol" w:hAnsi="Symbol"/>
      </w:rPr>
    </w:lvl>
    <w:lvl w:ilvl="8">
      <w:start w:val="1"/>
      <w:numFmt w:val="bullet"/>
      <w:isLgl w:val="false"/>
      <w:suff w:val="tab"/>
      <w:lvlText w:val=""/>
      <w:lvlJc w:val="left"/>
      <w:pPr>
        <w:pStyle w:val="852"/>
        <w:ind w:left="3600" w:hanging="360"/>
        <w:tabs>
          <w:tab w:val="num" w:pos="3600" w:leader="none"/>
        </w:tabs>
      </w:pPr>
      <w:rPr>
        <w:rFonts w:ascii="Symbol" w:hAnsi="Symbol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pStyle w:val="852"/>
        <w:ind w:left="720" w:hanging="360"/>
        <w:tabs>
          <w:tab w:val="num" w:pos="72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"/>
      <w:lvlJc w:val="left"/>
      <w:pPr>
        <w:pStyle w:val="852"/>
        <w:ind w:left="1080" w:hanging="360"/>
        <w:tabs>
          <w:tab w:val="num" w:pos="1080" w:leader="none"/>
        </w:tabs>
      </w:pPr>
      <w:rPr>
        <w:rFonts w:ascii="Symbol" w:hAnsi="Symbol"/>
      </w:rPr>
    </w:lvl>
    <w:lvl w:ilvl="2">
      <w:start w:val="1"/>
      <w:numFmt w:val="bullet"/>
      <w:isLgl w:val="false"/>
      <w:suff w:val="tab"/>
      <w:lvlText w:val=""/>
      <w:lvlJc w:val="left"/>
      <w:pPr>
        <w:pStyle w:val="852"/>
        <w:ind w:left="1440" w:hanging="360"/>
        <w:tabs>
          <w:tab w:val="num" w:pos="1440" w:leader="none"/>
        </w:tabs>
      </w:pPr>
      <w:rPr>
        <w:rFonts w:ascii="Symbol" w:hAnsi="Symbol"/>
      </w:rPr>
    </w:lvl>
    <w:lvl w:ilvl="3">
      <w:start w:val="1"/>
      <w:numFmt w:val="bullet"/>
      <w:isLgl w:val="false"/>
      <w:suff w:val="tab"/>
      <w:lvlText w:val=""/>
      <w:lvlJc w:val="left"/>
      <w:pPr>
        <w:pStyle w:val="852"/>
        <w:ind w:left="1800" w:hanging="360"/>
        <w:tabs>
          <w:tab w:val="num" w:pos="180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"/>
      <w:lvlJc w:val="left"/>
      <w:pPr>
        <w:pStyle w:val="852"/>
        <w:ind w:left="2160" w:hanging="360"/>
        <w:tabs>
          <w:tab w:val="num" w:pos="2160" w:leader="none"/>
        </w:tabs>
      </w:pPr>
      <w:rPr>
        <w:rFonts w:ascii="Symbol" w:hAnsi="Symbol"/>
      </w:rPr>
    </w:lvl>
    <w:lvl w:ilvl="5">
      <w:start w:val="1"/>
      <w:numFmt w:val="bullet"/>
      <w:isLgl w:val="false"/>
      <w:suff w:val="tab"/>
      <w:lvlText w:val=""/>
      <w:lvlJc w:val="left"/>
      <w:pPr>
        <w:pStyle w:val="852"/>
        <w:ind w:left="2520" w:hanging="360"/>
        <w:tabs>
          <w:tab w:val="num" w:pos="2520" w:leader="none"/>
        </w:tabs>
      </w:pPr>
      <w:rPr>
        <w:rFonts w:ascii="Symbol" w:hAnsi="Symbol"/>
      </w:rPr>
    </w:lvl>
    <w:lvl w:ilvl="6">
      <w:start w:val="1"/>
      <w:numFmt w:val="bullet"/>
      <w:isLgl w:val="false"/>
      <w:suff w:val="tab"/>
      <w:lvlText w:val=""/>
      <w:lvlJc w:val="left"/>
      <w:pPr>
        <w:pStyle w:val="852"/>
        <w:ind w:left="2880" w:hanging="360"/>
        <w:tabs>
          <w:tab w:val="num" w:pos="288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"/>
      <w:lvlJc w:val="left"/>
      <w:pPr>
        <w:pStyle w:val="852"/>
        <w:ind w:left="3240" w:hanging="360"/>
        <w:tabs>
          <w:tab w:val="num" w:pos="3240" w:leader="none"/>
        </w:tabs>
      </w:pPr>
      <w:rPr>
        <w:rFonts w:ascii="Symbol" w:hAnsi="Symbol"/>
      </w:rPr>
    </w:lvl>
    <w:lvl w:ilvl="8">
      <w:start w:val="1"/>
      <w:numFmt w:val="bullet"/>
      <w:isLgl w:val="false"/>
      <w:suff w:val="tab"/>
      <w:lvlText w:val=""/>
      <w:lvlJc w:val="left"/>
      <w:pPr>
        <w:pStyle w:val="852"/>
        <w:ind w:left="3600" w:hanging="360"/>
        <w:tabs>
          <w:tab w:val="num" w:pos="3600" w:leader="none"/>
        </w:tabs>
      </w:pPr>
      <w:rPr>
        <w:rFonts w:ascii="Symbol" w:hAnsi="Symbol"/>
      </w:rPr>
    </w:lvl>
  </w:abstractNum>
  <w:abstractNum w:abstractNumId="4">
    <w:multiLevelType w:val="hybridMultilevel"/>
    <w:lvl w:ilvl="0">
      <w:start w:val="1"/>
      <w:numFmt w:val="decimal"/>
      <w:isLgl w:val="false"/>
      <w:suff w:val="nothing"/>
      <w:lvlText w:val=""/>
      <w:lvlJc w:val="left"/>
      <w:pPr>
        <w:pStyle w:val="852"/>
        <w:ind w:left="432" w:hanging="432"/>
        <w:tabs>
          <w:tab w:val="num" w:pos="432" w:leader="none"/>
        </w:tabs>
      </w:pPr>
    </w:lvl>
    <w:lvl w:ilvl="1">
      <w:start w:val="1"/>
      <w:numFmt w:val="decimal"/>
      <w:isLgl w:val="false"/>
      <w:suff w:val="nothing"/>
      <w:lvlText w:val=""/>
      <w:lvlJc w:val="left"/>
      <w:pPr>
        <w:pStyle w:val="852"/>
        <w:ind w:left="576" w:hanging="576"/>
        <w:tabs>
          <w:tab w:val="num" w:pos="576" w:leader="none"/>
        </w:tabs>
      </w:pPr>
    </w:lvl>
    <w:lvl w:ilvl="2">
      <w:start w:val="1"/>
      <w:numFmt w:val="decimal"/>
      <w:isLgl w:val="false"/>
      <w:suff w:val="nothing"/>
      <w:lvlText w:val=""/>
      <w:lvlJc w:val="left"/>
      <w:pPr>
        <w:pStyle w:val="852"/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nothing"/>
      <w:lvlText w:val=""/>
      <w:lvlJc w:val="left"/>
      <w:pPr>
        <w:pStyle w:val="852"/>
        <w:ind w:left="864" w:hanging="864"/>
        <w:tabs>
          <w:tab w:val="num" w:pos="864" w:leader="none"/>
        </w:tabs>
      </w:pPr>
    </w:lvl>
    <w:lvl w:ilvl="4">
      <w:start w:val="1"/>
      <w:numFmt w:val="decimal"/>
      <w:isLgl w:val="false"/>
      <w:suff w:val="nothing"/>
      <w:lvlText w:val=""/>
      <w:lvlJc w:val="left"/>
      <w:pPr>
        <w:pStyle w:val="852"/>
        <w:ind w:left="1008" w:hanging="1008"/>
        <w:tabs>
          <w:tab w:val="num" w:pos="1008" w:leader="none"/>
        </w:tabs>
      </w:pPr>
    </w:lvl>
    <w:lvl w:ilvl="5">
      <w:start w:val="1"/>
      <w:numFmt w:val="decimal"/>
      <w:isLgl w:val="false"/>
      <w:suff w:val="nothing"/>
      <w:lvlText w:val=""/>
      <w:lvlJc w:val="left"/>
      <w:pPr>
        <w:pStyle w:val="852"/>
        <w:ind w:left="1152" w:hanging="1152"/>
        <w:tabs>
          <w:tab w:val="num" w:pos="1152" w:leader="none"/>
        </w:tabs>
      </w:pPr>
    </w:lvl>
    <w:lvl w:ilvl="6">
      <w:start w:val="1"/>
      <w:numFmt w:val="decimal"/>
      <w:isLgl w:val="false"/>
      <w:suff w:val="nothing"/>
      <w:lvlText w:val=""/>
      <w:lvlJc w:val="left"/>
      <w:pPr>
        <w:pStyle w:val="852"/>
        <w:ind w:left="1296" w:hanging="1296"/>
        <w:tabs>
          <w:tab w:val="num" w:pos="1296" w:leader="none"/>
        </w:tabs>
      </w:pPr>
    </w:lvl>
    <w:lvl w:ilvl="7">
      <w:start w:val="1"/>
      <w:numFmt w:val="decimal"/>
      <w:isLgl w:val="false"/>
      <w:suff w:val="nothing"/>
      <w:lvlText w:val=""/>
      <w:lvlJc w:val="left"/>
      <w:pPr>
        <w:pStyle w:val="852"/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nothing"/>
      <w:lvlText w:val=""/>
      <w:lvlJc w:val="left"/>
      <w:pPr>
        <w:pStyle w:val="852"/>
        <w:ind w:left="1584" w:hanging="1584"/>
        <w:tabs>
          <w:tab w:val="num" w:pos="1584" w:leader="none"/>
        </w:tabs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pStyle w:val="852"/>
        <w:ind w:left="1260" w:hanging="360"/>
        <w:tabs>
          <w:tab w:val="num" w:pos="126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pStyle w:val="852"/>
        <w:ind w:left="1980" w:hanging="360"/>
        <w:tabs>
          <w:tab w:val="num" w:pos="1980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852"/>
        <w:ind w:left="2700" w:hanging="360"/>
        <w:tabs>
          <w:tab w:val="num" w:pos="270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852"/>
        <w:ind w:left="3420" w:hanging="360"/>
        <w:tabs>
          <w:tab w:val="num" w:pos="342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852"/>
        <w:ind w:left="4140" w:hanging="360"/>
        <w:tabs>
          <w:tab w:val="num" w:pos="414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852"/>
        <w:ind w:left="4860" w:hanging="360"/>
        <w:tabs>
          <w:tab w:val="num" w:pos="486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852"/>
        <w:ind w:left="5580" w:hanging="360"/>
        <w:tabs>
          <w:tab w:val="num" w:pos="558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852"/>
        <w:ind w:left="6300" w:hanging="360"/>
        <w:tabs>
          <w:tab w:val="num" w:pos="630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852"/>
        <w:ind w:left="7020" w:hanging="360"/>
        <w:tabs>
          <w:tab w:val="num" w:pos="7020" w:leader="none"/>
        </w:tabs>
      </w:pPr>
      <w:rPr>
        <w:rFonts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49" w:hanging="360"/>
      </w:pPr>
      <w:rPr>
        <w:rFonts w:ascii="Arial" w:hAnsi="Arial" w:cs="Arial" w:eastAsia="Arial"/>
      </w:rPr>
    </w:lvl>
    <w:lvl w:ilvl="1">
      <w:start w:val="1"/>
      <w:numFmt w:val="bullet"/>
      <w:isLgl w:val="false"/>
      <w:suff w:val="tab"/>
      <w:lvlText w:val="o"/>
      <w:lvlJc w:val="left"/>
      <w:pPr>
        <w:ind w:left="1969" w:hanging="360"/>
      </w:pPr>
      <w:rPr>
        <w:rFonts w:ascii="Courier New" w:hAnsi="Courier New" w:cs="Courier New" w:eastAsia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689" w:hanging="360"/>
      </w:pPr>
      <w:rPr>
        <w:rFonts w:ascii="Wingdings" w:hAnsi="Wingdings" w:cs="Wingdings" w:eastAsia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09" w:hanging="360"/>
      </w:pPr>
      <w:rPr>
        <w:rFonts w:ascii="Symbol" w:hAnsi="Symbol" w:cs="Symbol" w:eastAsia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29" w:hanging="360"/>
      </w:pPr>
      <w:rPr>
        <w:rFonts w:ascii="Courier New" w:hAnsi="Courier New" w:cs="Courier New" w:eastAsia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49" w:hanging="360"/>
      </w:pPr>
      <w:rPr>
        <w:rFonts w:ascii="Wingdings" w:hAnsi="Wingdings" w:cs="Wingdings" w:eastAsia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69" w:hanging="360"/>
      </w:pPr>
      <w:rPr>
        <w:rFonts w:ascii="Symbol" w:hAnsi="Symbol" w:cs="Symbol" w:eastAsia="Symbol"/>
      </w:rPr>
    </w:lvl>
    <w:lvl w:ilvl="7">
      <w:start w:val="1"/>
      <w:numFmt w:val="bullet"/>
      <w:isLgl w:val="false"/>
      <w:suff w:val="tab"/>
      <w:lvlText w:val="o"/>
      <w:lvlJc w:val="left"/>
      <w:pPr>
        <w:ind w:left="6289" w:hanging="360"/>
      </w:pPr>
      <w:rPr>
        <w:rFonts w:ascii="Courier New" w:hAnsi="Courier New" w:cs="Courier New" w:eastAsia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09" w:hanging="360"/>
      </w:pPr>
      <w:rPr>
        <w:rFonts w:ascii="Wingdings" w:hAnsi="Wingdings" w:cs="Wingdings" w:eastAsia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pStyle w:val="852"/>
        <w:ind w:left="1260" w:hanging="360"/>
        <w:tabs>
          <w:tab w:val="left" w:pos="126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pStyle w:val="852"/>
        <w:ind w:left="1980" w:hanging="360"/>
        <w:tabs>
          <w:tab w:val="left" w:pos="1980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852"/>
        <w:ind w:left="2700" w:hanging="360"/>
        <w:tabs>
          <w:tab w:val="left" w:pos="270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852"/>
        <w:ind w:left="3420" w:hanging="360"/>
        <w:tabs>
          <w:tab w:val="left" w:pos="342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852"/>
        <w:ind w:left="4140" w:hanging="360"/>
        <w:tabs>
          <w:tab w:val="left" w:pos="414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852"/>
        <w:ind w:left="4860" w:hanging="360"/>
        <w:tabs>
          <w:tab w:val="left" w:pos="486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852"/>
        <w:ind w:left="5580" w:hanging="360"/>
        <w:tabs>
          <w:tab w:val="left" w:pos="558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852"/>
        <w:ind w:left="6300" w:hanging="360"/>
        <w:tabs>
          <w:tab w:val="left" w:pos="630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852"/>
        <w:ind w:left="7020" w:hanging="360"/>
        <w:tabs>
          <w:tab w:val="left" w:pos="7020" w:leader="none"/>
        </w:tabs>
      </w:pPr>
      <w:rPr>
        <w:rFonts w:ascii="Wingdings" w:hAnsi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49" w:hanging="360"/>
      </w:pPr>
      <w:rPr>
        <w:rFonts w:ascii="Arial" w:hAnsi="Arial" w:cs="Arial" w:eastAsia="Arial"/>
      </w:rPr>
    </w:lvl>
    <w:lvl w:ilvl="1">
      <w:start w:val="1"/>
      <w:numFmt w:val="bullet"/>
      <w:isLgl w:val="false"/>
      <w:suff w:val="tab"/>
      <w:lvlText w:val="o"/>
      <w:lvlJc w:val="left"/>
      <w:pPr>
        <w:ind w:left="1969" w:hanging="360"/>
      </w:pPr>
      <w:rPr>
        <w:rFonts w:ascii="Courier New" w:hAnsi="Courier New" w:cs="Courier New" w:eastAsia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689" w:hanging="360"/>
      </w:pPr>
      <w:rPr>
        <w:rFonts w:ascii="Wingdings" w:hAnsi="Wingdings" w:cs="Wingdings" w:eastAsia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09" w:hanging="360"/>
      </w:pPr>
      <w:rPr>
        <w:rFonts w:ascii="Symbol" w:hAnsi="Symbol" w:cs="Symbol" w:eastAsia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29" w:hanging="360"/>
      </w:pPr>
      <w:rPr>
        <w:rFonts w:ascii="Courier New" w:hAnsi="Courier New" w:cs="Courier New" w:eastAsia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49" w:hanging="360"/>
      </w:pPr>
      <w:rPr>
        <w:rFonts w:ascii="Wingdings" w:hAnsi="Wingdings" w:cs="Wingdings" w:eastAsia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69" w:hanging="360"/>
      </w:pPr>
      <w:rPr>
        <w:rFonts w:ascii="Symbol" w:hAnsi="Symbol" w:cs="Symbol" w:eastAsia="Symbol"/>
      </w:rPr>
    </w:lvl>
    <w:lvl w:ilvl="7">
      <w:start w:val="1"/>
      <w:numFmt w:val="bullet"/>
      <w:isLgl w:val="false"/>
      <w:suff w:val="tab"/>
      <w:lvlText w:val="o"/>
      <w:lvlJc w:val="left"/>
      <w:pPr>
        <w:ind w:left="6289" w:hanging="360"/>
      </w:pPr>
      <w:rPr>
        <w:rFonts w:ascii="Courier New" w:hAnsi="Courier New" w:cs="Courier New" w:eastAsia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09" w:hanging="360"/>
      </w:pPr>
      <w:rPr>
        <w:rFonts w:ascii="Wingdings" w:hAnsi="Wingdings" w:cs="Wingdings" w:eastAsia="Wingdings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49" w:hanging="360"/>
      </w:pPr>
      <w:rPr>
        <w:rFonts w:ascii="Arial" w:hAnsi="Arial" w:cs="Arial" w:eastAsia="Arial"/>
      </w:rPr>
    </w:lvl>
    <w:lvl w:ilvl="1">
      <w:start w:val="1"/>
      <w:numFmt w:val="bullet"/>
      <w:isLgl w:val="false"/>
      <w:suff w:val="tab"/>
      <w:lvlText w:val="o"/>
      <w:lvlJc w:val="left"/>
      <w:pPr>
        <w:ind w:left="1969" w:hanging="360"/>
      </w:pPr>
      <w:rPr>
        <w:rFonts w:ascii="Courier New" w:hAnsi="Courier New" w:cs="Courier New" w:eastAsia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689" w:hanging="360"/>
      </w:pPr>
      <w:rPr>
        <w:rFonts w:ascii="Wingdings" w:hAnsi="Wingdings" w:cs="Wingdings" w:eastAsia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09" w:hanging="360"/>
      </w:pPr>
      <w:rPr>
        <w:rFonts w:ascii="Symbol" w:hAnsi="Symbol" w:cs="Symbol" w:eastAsia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29" w:hanging="360"/>
      </w:pPr>
      <w:rPr>
        <w:rFonts w:ascii="Courier New" w:hAnsi="Courier New" w:cs="Courier New" w:eastAsia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49" w:hanging="360"/>
      </w:pPr>
      <w:rPr>
        <w:rFonts w:ascii="Wingdings" w:hAnsi="Wingdings" w:cs="Wingdings" w:eastAsia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69" w:hanging="360"/>
      </w:pPr>
      <w:rPr>
        <w:rFonts w:ascii="Symbol" w:hAnsi="Symbol" w:cs="Symbol" w:eastAsia="Symbol"/>
      </w:rPr>
    </w:lvl>
    <w:lvl w:ilvl="7">
      <w:start w:val="1"/>
      <w:numFmt w:val="bullet"/>
      <w:isLgl w:val="false"/>
      <w:suff w:val="tab"/>
      <w:lvlText w:val="o"/>
      <w:lvlJc w:val="left"/>
      <w:pPr>
        <w:ind w:left="6289" w:hanging="360"/>
      </w:pPr>
      <w:rPr>
        <w:rFonts w:ascii="Courier New" w:hAnsi="Courier New" w:cs="Courier New" w:eastAsia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09" w:hanging="360"/>
      </w:pPr>
      <w:rPr>
        <w:rFonts w:ascii="Wingdings" w:hAnsi="Wingdings" w:cs="Wingdings" w:eastAsia="Wingdings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49" w:hanging="360"/>
      </w:pPr>
      <w:rPr>
        <w:rFonts w:ascii="Arial" w:hAnsi="Arial" w:cs="Arial" w:eastAsia="Arial"/>
      </w:rPr>
    </w:lvl>
    <w:lvl w:ilvl="1">
      <w:start w:val="1"/>
      <w:numFmt w:val="bullet"/>
      <w:isLgl w:val="false"/>
      <w:suff w:val="tab"/>
      <w:lvlText w:val="o"/>
      <w:lvlJc w:val="left"/>
      <w:pPr>
        <w:ind w:left="1969" w:hanging="360"/>
      </w:pPr>
      <w:rPr>
        <w:rFonts w:ascii="Courier New" w:hAnsi="Courier New" w:cs="Courier New" w:eastAsia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689" w:hanging="360"/>
      </w:pPr>
      <w:rPr>
        <w:rFonts w:ascii="Wingdings" w:hAnsi="Wingdings" w:cs="Wingdings" w:eastAsia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09" w:hanging="360"/>
      </w:pPr>
      <w:rPr>
        <w:rFonts w:ascii="Symbol" w:hAnsi="Symbol" w:cs="Symbol" w:eastAsia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29" w:hanging="360"/>
      </w:pPr>
      <w:rPr>
        <w:rFonts w:ascii="Courier New" w:hAnsi="Courier New" w:cs="Courier New" w:eastAsia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49" w:hanging="360"/>
      </w:pPr>
      <w:rPr>
        <w:rFonts w:ascii="Wingdings" w:hAnsi="Wingdings" w:cs="Wingdings" w:eastAsia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69" w:hanging="360"/>
      </w:pPr>
      <w:rPr>
        <w:rFonts w:ascii="Symbol" w:hAnsi="Symbol" w:cs="Symbol" w:eastAsia="Symbol"/>
      </w:rPr>
    </w:lvl>
    <w:lvl w:ilvl="7">
      <w:start w:val="1"/>
      <w:numFmt w:val="bullet"/>
      <w:isLgl w:val="false"/>
      <w:suff w:val="tab"/>
      <w:lvlText w:val="o"/>
      <w:lvlJc w:val="left"/>
      <w:pPr>
        <w:ind w:left="6289" w:hanging="360"/>
      </w:pPr>
      <w:rPr>
        <w:rFonts w:ascii="Courier New" w:hAnsi="Courier New" w:cs="Courier New" w:eastAsia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09" w:hanging="360"/>
      </w:pPr>
      <w:rPr>
        <w:rFonts w:ascii="Wingdings" w:hAnsi="Wingdings" w:cs="Wingdings" w:eastAsia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49" w:hanging="360"/>
      </w:pPr>
      <w:rPr>
        <w:rFonts w:ascii="Arial" w:hAnsi="Arial" w:cs="Arial" w:eastAsia="Arial"/>
      </w:rPr>
    </w:lvl>
    <w:lvl w:ilvl="1">
      <w:start w:val="1"/>
      <w:numFmt w:val="bullet"/>
      <w:isLgl w:val="false"/>
      <w:suff w:val="tab"/>
      <w:lvlText w:val="o"/>
      <w:lvlJc w:val="left"/>
      <w:pPr>
        <w:ind w:left="1969" w:hanging="360"/>
      </w:pPr>
      <w:rPr>
        <w:rFonts w:ascii="Courier New" w:hAnsi="Courier New" w:cs="Courier New" w:eastAsia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689" w:hanging="360"/>
      </w:pPr>
      <w:rPr>
        <w:rFonts w:ascii="Wingdings" w:hAnsi="Wingdings" w:cs="Wingdings" w:eastAsia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09" w:hanging="360"/>
      </w:pPr>
      <w:rPr>
        <w:rFonts w:ascii="Symbol" w:hAnsi="Symbol" w:cs="Symbol" w:eastAsia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29" w:hanging="360"/>
      </w:pPr>
      <w:rPr>
        <w:rFonts w:ascii="Courier New" w:hAnsi="Courier New" w:cs="Courier New" w:eastAsia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49" w:hanging="360"/>
      </w:pPr>
      <w:rPr>
        <w:rFonts w:ascii="Wingdings" w:hAnsi="Wingdings" w:cs="Wingdings" w:eastAsia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69" w:hanging="360"/>
      </w:pPr>
      <w:rPr>
        <w:rFonts w:ascii="Symbol" w:hAnsi="Symbol" w:cs="Symbol" w:eastAsia="Symbol"/>
      </w:rPr>
    </w:lvl>
    <w:lvl w:ilvl="7">
      <w:start w:val="1"/>
      <w:numFmt w:val="bullet"/>
      <w:isLgl w:val="false"/>
      <w:suff w:val="tab"/>
      <w:lvlText w:val="o"/>
      <w:lvlJc w:val="left"/>
      <w:pPr>
        <w:ind w:left="6289" w:hanging="360"/>
      </w:pPr>
      <w:rPr>
        <w:rFonts w:ascii="Courier New" w:hAnsi="Courier New" w:cs="Courier New" w:eastAsia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09" w:hanging="360"/>
      </w:pPr>
      <w:rPr>
        <w:rFonts w:ascii="Wingdings" w:hAnsi="Wingdings" w:cs="Wingdings" w:eastAsia="Wingdings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pStyle w:val="852"/>
        <w:ind w:left="1260" w:hanging="360"/>
        <w:tabs>
          <w:tab w:val="left" w:pos="126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pStyle w:val="852"/>
        <w:ind w:left="1980" w:hanging="360"/>
        <w:tabs>
          <w:tab w:val="left" w:pos="1980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852"/>
        <w:ind w:left="2700" w:hanging="360"/>
        <w:tabs>
          <w:tab w:val="left" w:pos="270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852"/>
        <w:ind w:left="3420" w:hanging="360"/>
        <w:tabs>
          <w:tab w:val="left" w:pos="342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852"/>
        <w:ind w:left="4140" w:hanging="360"/>
        <w:tabs>
          <w:tab w:val="left" w:pos="414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852"/>
        <w:ind w:left="4860" w:hanging="360"/>
        <w:tabs>
          <w:tab w:val="left" w:pos="486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852"/>
        <w:ind w:left="5580" w:hanging="360"/>
        <w:tabs>
          <w:tab w:val="left" w:pos="558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852"/>
        <w:ind w:left="6300" w:hanging="360"/>
        <w:tabs>
          <w:tab w:val="left" w:pos="630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852"/>
        <w:ind w:left="7020" w:hanging="360"/>
        <w:tabs>
          <w:tab w:val="left" w:pos="7020" w:leader="none"/>
        </w:tabs>
      </w:pPr>
      <w:rPr>
        <w:rFonts w:ascii="Wingdings" w:hAnsi="Wingdings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49" w:hanging="360"/>
      </w:pPr>
      <w:rPr>
        <w:rFonts w:ascii="Arial" w:hAnsi="Arial" w:cs="Arial" w:eastAsia="Arial"/>
      </w:rPr>
    </w:lvl>
    <w:lvl w:ilvl="1">
      <w:start w:val="1"/>
      <w:numFmt w:val="bullet"/>
      <w:isLgl w:val="false"/>
      <w:suff w:val="tab"/>
      <w:lvlText w:val="o"/>
      <w:lvlJc w:val="left"/>
      <w:pPr>
        <w:ind w:left="1969" w:hanging="360"/>
      </w:pPr>
      <w:rPr>
        <w:rFonts w:ascii="Courier New" w:hAnsi="Courier New" w:cs="Courier New" w:eastAsia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689" w:hanging="360"/>
      </w:pPr>
      <w:rPr>
        <w:rFonts w:ascii="Wingdings" w:hAnsi="Wingdings" w:cs="Wingdings" w:eastAsia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09" w:hanging="360"/>
      </w:pPr>
      <w:rPr>
        <w:rFonts w:ascii="Symbol" w:hAnsi="Symbol" w:cs="Symbol" w:eastAsia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29" w:hanging="360"/>
      </w:pPr>
      <w:rPr>
        <w:rFonts w:ascii="Courier New" w:hAnsi="Courier New" w:cs="Courier New" w:eastAsia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49" w:hanging="360"/>
      </w:pPr>
      <w:rPr>
        <w:rFonts w:ascii="Wingdings" w:hAnsi="Wingdings" w:cs="Wingdings" w:eastAsia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69" w:hanging="360"/>
      </w:pPr>
      <w:rPr>
        <w:rFonts w:ascii="Symbol" w:hAnsi="Symbol" w:cs="Symbol" w:eastAsia="Symbol"/>
      </w:rPr>
    </w:lvl>
    <w:lvl w:ilvl="7">
      <w:start w:val="1"/>
      <w:numFmt w:val="bullet"/>
      <w:isLgl w:val="false"/>
      <w:suff w:val="tab"/>
      <w:lvlText w:val="o"/>
      <w:lvlJc w:val="left"/>
      <w:pPr>
        <w:ind w:left="6289" w:hanging="360"/>
      </w:pPr>
      <w:rPr>
        <w:rFonts w:ascii="Courier New" w:hAnsi="Courier New" w:cs="Courier New" w:eastAsia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09" w:hanging="360"/>
      </w:pPr>
      <w:rPr>
        <w:rFonts w:ascii="Wingdings" w:hAnsi="Wingdings" w:cs="Wingdings" w:eastAsia="Wingdings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ascii="Arial" w:hAnsi="Arial" w:cs="Arial" w:eastAsia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ascii="Courier New" w:hAnsi="Courier New" w:cs="Courier New" w:eastAsia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ascii="Wingdings" w:hAnsi="Wingdings" w:cs="Wingdings" w:eastAsia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ascii="Symbol" w:hAnsi="Symbol" w:cs="Symbol" w:eastAsia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ascii="Courier New" w:hAnsi="Courier New" w:cs="Courier New" w:eastAsia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ascii="Wingdings" w:hAnsi="Wingdings" w:cs="Wingdings" w:eastAsia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ascii="Symbol" w:hAnsi="Symbol" w:cs="Symbol" w:eastAsia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ascii="Courier New" w:hAnsi="Courier New" w:cs="Courier New" w:eastAsia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ascii="Wingdings" w:hAnsi="Wingdings" w:cs="Wingdings" w:eastAsia="Wingdings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ascii="Arial" w:hAnsi="Arial" w:cs="Arial" w:eastAsia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ascii="Courier New" w:hAnsi="Courier New" w:cs="Courier New" w:eastAsia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ascii="Wingdings" w:hAnsi="Wingdings" w:cs="Wingdings" w:eastAsia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ascii="Symbol" w:hAnsi="Symbol" w:cs="Symbol" w:eastAsia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ascii="Courier New" w:hAnsi="Courier New" w:cs="Courier New" w:eastAsia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ascii="Wingdings" w:hAnsi="Wingdings" w:cs="Wingdings" w:eastAsia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ascii="Symbol" w:hAnsi="Symbol" w:cs="Symbol" w:eastAsia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ascii="Courier New" w:hAnsi="Courier New" w:cs="Courier New" w:eastAsia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ascii="Wingdings" w:hAnsi="Wingdings" w:cs="Wingdings" w:eastAsia="Wingdings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ascii="Arial" w:hAnsi="Arial" w:cs="Arial" w:eastAsia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ascii="Courier New" w:hAnsi="Courier New" w:cs="Courier New" w:eastAsia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ascii="Wingdings" w:hAnsi="Wingdings" w:cs="Wingdings" w:eastAsia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ascii="Symbol" w:hAnsi="Symbol" w:cs="Symbol" w:eastAsia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ascii="Courier New" w:hAnsi="Courier New" w:cs="Courier New" w:eastAsia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ascii="Wingdings" w:hAnsi="Wingdings" w:cs="Wingdings" w:eastAsia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ascii="Symbol" w:hAnsi="Symbol" w:cs="Symbol" w:eastAsia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ascii="Courier New" w:hAnsi="Courier New" w:cs="Courier New" w:eastAsia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ascii="Wingdings" w:hAnsi="Wingdings" w:cs="Wingdings" w:eastAsia="Wingdings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ascii="Arial" w:hAnsi="Arial" w:cs="Arial" w:eastAsia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ascii="Courier New" w:hAnsi="Courier New" w:cs="Courier New" w:eastAsia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ascii="Wingdings" w:hAnsi="Wingdings" w:cs="Wingdings" w:eastAsia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ascii="Symbol" w:hAnsi="Symbol" w:cs="Symbol" w:eastAsia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ascii="Courier New" w:hAnsi="Courier New" w:cs="Courier New" w:eastAsia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ascii="Wingdings" w:hAnsi="Wingdings" w:cs="Wingdings" w:eastAsia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ascii="Symbol" w:hAnsi="Symbol" w:cs="Symbol" w:eastAsia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ascii="Courier New" w:hAnsi="Courier New" w:cs="Courier New" w:eastAsia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ascii="Wingdings" w:hAnsi="Wingdings" w:cs="Wingdings" w:eastAsia="Wingdings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ascii="Arial" w:hAnsi="Arial" w:cs="Arial" w:eastAsia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ascii="Courier New" w:hAnsi="Courier New" w:cs="Courier New" w:eastAsia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ascii="Wingdings" w:hAnsi="Wingdings" w:cs="Wingdings" w:eastAsia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ascii="Symbol" w:hAnsi="Symbol" w:cs="Symbol" w:eastAsia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ascii="Courier New" w:hAnsi="Courier New" w:cs="Courier New" w:eastAsia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ascii="Wingdings" w:hAnsi="Wingdings" w:cs="Wingdings" w:eastAsia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ascii="Symbol" w:hAnsi="Symbol" w:cs="Symbol" w:eastAsia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ascii="Courier New" w:hAnsi="Courier New" w:cs="Courier New" w:eastAsia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ascii="Wingdings" w:hAnsi="Wingdings" w:cs="Wingdings" w:eastAsia="Wingdings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/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cs="Times New Roman" w:eastAsia="Times New Roman"/>
        <w:lang w:val="ru-RU" w:bidi="ar-SA" w:eastAsia="zh-C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4">
    <w:name w:val="table of figures"/>
    <w:basedOn w:val="939"/>
    <w:next w:val="939"/>
    <w:uiPriority w:val="99"/>
    <w:unhideWhenUsed/>
    <w:pPr>
      <w:spacing w:after="0" w:afterAutospacing="0"/>
    </w:pPr>
  </w:style>
  <w:style w:type="paragraph" w:styleId="675">
    <w:name w:val="Heading 1"/>
    <w:link w:val="676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character" w:styleId="676">
    <w:name w:val="Heading 1 Char"/>
    <w:link w:val="675"/>
    <w:uiPriority w:val="9"/>
    <w:rPr>
      <w:rFonts w:ascii="Arial" w:hAnsi="Arial" w:cs="Arial" w:eastAsia="Arial"/>
      <w:sz w:val="40"/>
      <w:szCs w:val="40"/>
    </w:rPr>
  </w:style>
  <w:style w:type="paragraph" w:styleId="677">
    <w:name w:val="Heading 2"/>
    <w:link w:val="678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678">
    <w:name w:val="Heading 2 Char"/>
    <w:link w:val="677"/>
    <w:uiPriority w:val="9"/>
    <w:rPr>
      <w:rFonts w:ascii="Arial" w:hAnsi="Arial" w:cs="Arial" w:eastAsia="Arial"/>
      <w:sz w:val="34"/>
    </w:rPr>
  </w:style>
  <w:style w:type="paragraph" w:styleId="679">
    <w:name w:val="Heading 3"/>
    <w:link w:val="680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680">
    <w:name w:val="Heading 3 Char"/>
    <w:link w:val="679"/>
    <w:uiPriority w:val="9"/>
    <w:rPr>
      <w:rFonts w:ascii="Arial" w:hAnsi="Arial" w:cs="Arial" w:eastAsia="Arial"/>
      <w:sz w:val="30"/>
      <w:szCs w:val="30"/>
    </w:rPr>
  </w:style>
  <w:style w:type="paragraph" w:styleId="681">
    <w:name w:val="Heading 4"/>
    <w:link w:val="682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682">
    <w:name w:val="Heading 4 Char"/>
    <w:link w:val="681"/>
    <w:uiPriority w:val="9"/>
    <w:rPr>
      <w:rFonts w:ascii="Arial" w:hAnsi="Arial" w:cs="Arial" w:eastAsia="Arial"/>
      <w:b/>
      <w:bCs/>
      <w:sz w:val="26"/>
      <w:szCs w:val="26"/>
    </w:rPr>
  </w:style>
  <w:style w:type="paragraph" w:styleId="683">
    <w:name w:val="Heading 5"/>
    <w:link w:val="684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684">
    <w:name w:val="Heading 5 Char"/>
    <w:link w:val="683"/>
    <w:uiPriority w:val="9"/>
    <w:rPr>
      <w:rFonts w:ascii="Arial" w:hAnsi="Arial" w:cs="Arial" w:eastAsia="Arial"/>
      <w:b/>
      <w:bCs/>
      <w:sz w:val="24"/>
      <w:szCs w:val="24"/>
    </w:rPr>
  </w:style>
  <w:style w:type="paragraph" w:styleId="685">
    <w:name w:val="Heading 6"/>
    <w:link w:val="686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686">
    <w:name w:val="Heading 6 Char"/>
    <w:link w:val="685"/>
    <w:uiPriority w:val="9"/>
    <w:rPr>
      <w:rFonts w:ascii="Arial" w:hAnsi="Arial" w:cs="Arial" w:eastAsia="Arial"/>
      <w:b/>
      <w:bCs/>
      <w:sz w:val="22"/>
      <w:szCs w:val="22"/>
    </w:rPr>
  </w:style>
  <w:style w:type="paragraph" w:styleId="687">
    <w:name w:val="Heading 7"/>
    <w:link w:val="688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688">
    <w:name w:val="Heading 7 Char"/>
    <w:link w:val="687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689">
    <w:name w:val="Heading 8"/>
    <w:link w:val="690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690">
    <w:name w:val="Heading 8 Char"/>
    <w:link w:val="689"/>
    <w:uiPriority w:val="9"/>
    <w:rPr>
      <w:rFonts w:ascii="Arial" w:hAnsi="Arial" w:cs="Arial" w:eastAsia="Arial"/>
      <w:i/>
      <w:iCs/>
      <w:sz w:val="22"/>
      <w:szCs w:val="22"/>
    </w:rPr>
  </w:style>
  <w:style w:type="paragraph" w:styleId="691">
    <w:name w:val="Heading 9"/>
    <w:link w:val="692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692">
    <w:name w:val="Heading 9 Char"/>
    <w:link w:val="691"/>
    <w:uiPriority w:val="9"/>
    <w:rPr>
      <w:rFonts w:ascii="Arial" w:hAnsi="Arial" w:cs="Arial" w:eastAsia="Arial"/>
      <w:i/>
      <w:iCs/>
      <w:sz w:val="21"/>
      <w:szCs w:val="21"/>
    </w:rPr>
  </w:style>
  <w:style w:type="paragraph" w:styleId="693">
    <w:name w:val="List Paragraph"/>
    <w:qFormat/>
    <w:uiPriority w:val="34"/>
    <w:pPr>
      <w:contextualSpacing w:val="true"/>
      <w:ind w:left="720"/>
    </w:pPr>
  </w:style>
  <w:style w:type="paragraph" w:styleId="694">
    <w:name w:val="No Spacing"/>
    <w:qFormat/>
    <w:uiPriority w:val="1"/>
    <w:pPr>
      <w:spacing w:lineRule="auto" w:line="240" w:after="0" w:before="0"/>
    </w:pPr>
  </w:style>
  <w:style w:type="paragraph" w:styleId="695">
    <w:name w:val="Title"/>
    <w:link w:val="696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696">
    <w:name w:val="Title Char"/>
    <w:link w:val="695"/>
    <w:uiPriority w:val="10"/>
    <w:rPr>
      <w:sz w:val="48"/>
      <w:szCs w:val="48"/>
    </w:rPr>
  </w:style>
  <w:style w:type="paragraph" w:styleId="697">
    <w:name w:val="Subtitle"/>
    <w:link w:val="698"/>
    <w:qFormat/>
    <w:uiPriority w:val="11"/>
    <w:rPr>
      <w:sz w:val="24"/>
      <w:szCs w:val="24"/>
    </w:rPr>
    <w:pPr>
      <w:spacing w:after="200" w:before="200"/>
    </w:pPr>
  </w:style>
  <w:style w:type="character" w:styleId="698">
    <w:name w:val="Subtitle Char"/>
    <w:link w:val="697"/>
    <w:uiPriority w:val="11"/>
    <w:rPr>
      <w:sz w:val="24"/>
      <w:szCs w:val="24"/>
    </w:rPr>
  </w:style>
  <w:style w:type="paragraph" w:styleId="699">
    <w:name w:val="Quote"/>
    <w:link w:val="700"/>
    <w:qFormat/>
    <w:uiPriority w:val="29"/>
    <w:rPr>
      <w:i/>
    </w:rPr>
    <w:pPr>
      <w:ind w:left="720" w:right="720"/>
    </w:pPr>
  </w:style>
  <w:style w:type="character" w:styleId="700">
    <w:name w:val="Quote Char"/>
    <w:link w:val="699"/>
    <w:uiPriority w:val="29"/>
    <w:rPr>
      <w:i/>
    </w:rPr>
  </w:style>
  <w:style w:type="paragraph" w:styleId="701">
    <w:name w:val="Intense Quote"/>
    <w:link w:val="702"/>
    <w:qFormat/>
    <w:uiPriority w:val="30"/>
    <w:rPr>
      <w:i/>
    </w:rPr>
    <w:pPr>
      <w:contextualSpacing w:val="false"/>
      <w:ind w:left="720" w:right="720"/>
      <w:shd w:val="clear" w:fill="F2F2F2" w:color="F2F2F2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702">
    <w:name w:val="Intense Quote Char"/>
    <w:link w:val="701"/>
    <w:uiPriority w:val="30"/>
    <w:rPr>
      <w:i/>
    </w:rPr>
  </w:style>
  <w:style w:type="paragraph" w:styleId="703">
    <w:name w:val="Header"/>
    <w:link w:val="704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704">
    <w:name w:val="Header Char"/>
    <w:link w:val="703"/>
    <w:uiPriority w:val="99"/>
  </w:style>
  <w:style w:type="paragraph" w:styleId="705">
    <w:name w:val="Footer"/>
    <w:link w:val="708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706">
    <w:name w:val="Footer Char"/>
    <w:link w:val="705"/>
    <w:uiPriority w:val="99"/>
  </w:style>
  <w:style w:type="paragraph" w:styleId="707">
    <w:name w:val="Caption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708">
    <w:name w:val="Caption Char"/>
    <w:basedOn w:val="707"/>
    <w:link w:val="705"/>
    <w:uiPriority w:val="99"/>
  </w:style>
  <w:style w:type="table" w:styleId="709">
    <w:name w:val="Table Grid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0">
    <w:name w:val="Table Grid Light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1">
    <w:name w:val="Plain Table 1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fill="FFFFFF" w:color="FFFFFF" w:themeFill="text1" w:themeFillTint="0D"/>
      </w:tcPr>
    </w:tblStylePr>
    <w:tblStylePr w:type="band1Vert">
      <w:tcPr>
        <w:shd w:val="clear" w:fill="FFFFFF" w:color="FFFFFF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2">
    <w:name w:val="Plain Table 2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3">
    <w:name w:val="Plain Table 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4">
    <w:name w:val="Plain Table 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>
    <w:name w:val="Plain Table 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fill="FFFFFF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fill="FFFFFF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716">
    <w:name w:val="Grid Table 1 Light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>
    <w:name w:val="Grid Table 1 Light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>
    <w:name w:val="Grid Table 1 Light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>
    <w:name w:val="Grid Table 1 Light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>
    <w:name w:val="Grid Table 1 Light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>
    <w:name w:val="Grid Table 1 Light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>
    <w:name w:val="Grid Table 1 Light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>
    <w:name w:val="Grid Table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724">
    <w:name w:val="Grid Table 2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725">
    <w:name w:val="Grid Table 2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726">
    <w:name w:val="Grid Table 2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727">
    <w:name w:val="Grid Table 2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728">
    <w:name w:val="Grid Table 2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729">
    <w:name w:val="Grid Table 2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730">
    <w:name w:val="Grid Table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31">
    <w:name w:val="Grid Table 3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32">
    <w:name w:val="Grid Table 3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33">
    <w:name w:val="Grid Table 3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34">
    <w:name w:val="Grid Table 3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35">
    <w:name w:val="Grid Table 3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36">
    <w:name w:val="Grid Table 3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37">
    <w:name w:val="Grid Table 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738">
    <w:name w:val="Grid Table 4 - Accent 1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 w:themeFill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739">
    <w:name w:val="Grid Table 4 - Accent 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 w:themeFill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740">
    <w:name w:val="Grid Table 4 - Accent 3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 w:themeFill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741">
    <w:name w:val="Grid Table 4 - Accent 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 w:themeFill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742">
    <w:name w:val="Grid Table 4 - Accent 5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743">
    <w:name w:val="Grid Table 4 - Accent 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744">
    <w:name w:val="Grid Table 5 Dark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text1" w:themeFillTint="40"/>
    </w:tblPr>
    <w:tblStylePr w:type="band1Horz">
      <w:tcPr>
        <w:shd w:val="clear" w:fill="FFFFFF" w:color="FFFFFF" w:themeFill="text1" w:themeFillTint="75"/>
      </w:tcPr>
    </w:tblStylePr>
    <w:tblStylePr w:type="band1Vert">
      <w:tcPr>
        <w:shd w:val="clear" w:fill="FFFFFF" w:color="FFFFFF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text1"/>
        <w:tcBorders>
          <w:top w:val="single" w:color="000000" w:sz="4" w:space="0" w:themeColor="light1"/>
        </w:tcBorders>
      </w:tcPr>
    </w:tblStylePr>
  </w:style>
  <w:style w:type="table" w:styleId="745">
    <w:name w:val="Grid Table 5 Dark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1" w:themeFillTint="34"/>
    </w:tblPr>
    <w:tblStylePr w:type="band1Horz">
      <w:tcPr>
        <w:shd w:val="clear" w:fill="FFFFFF" w:color="FFFFFF" w:themeFill="accent1" w:themeFillTint="75"/>
      </w:tcPr>
    </w:tblStylePr>
    <w:tblStylePr w:type="band1Vert">
      <w:tcPr>
        <w:shd w:val="clear" w:fill="FFFFFF" w:color="FFFFFF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1"/>
        <w:tcBorders>
          <w:top w:val="single" w:color="000000" w:sz="4" w:space="0" w:themeColor="light1"/>
        </w:tcBorders>
      </w:tcPr>
    </w:tblStylePr>
  </w:style>
  <w:style w:type="table" w:styleId="746">
    <w:name w:val="Grid Table 5 Dark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2" w:themeFillTint="32"/>
    </w:tblPr>
    <w:tblStylePr w:type="band1Horz">
      <w:tcPr>
        <w:shd w:val="clear" w:fill="FFFFFF" w:color="FFFFFF" w:themeFill="accent2" w:themeFillTint="75"/>
      </w:tcPr>
    </w:tblStylePr>
    <w:tblStylePr w:type="band1Vert">
      <w:tcPr>
        <w:shd w:val="clear" w:fill="FFFFFF" w:color="FFFFFF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2"/>
        <w:tcBorders>
          <w:top w:val="single" w:color="000000" w:sz="4" w:space="0" w:themeColor="light1"/>
        </w:tcBorders>
      </w:tcPr>
    </w:tblStylePr>
  </w:style>
  <w:style w:type="table" w:styleId="747">
    <w:name w:val="Grid Table 5 Dark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3" w:themeFillTint="34"/>
    </w:tblPr>
    <w:tblStylePr w:type="band1Horz">
      <w:tcPr>
        <w:shd w:val="clear" w:fill="FFFFFF" w:color="FFFFFF" w:themeFill="accent3" w:themeFillTint="75"/>
      </w:tcPr>
    </w:tblStylePr>
    <w:tblStylePr w:type="band1Vert">
      <w:tcPr>
        <w:shd w:val="clear" w:fill="FFFFFF" w:color="FFFFFF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3"/>
        <w:tcBorders>
          <w:top w:val="single" w:color="000000" w:sz="4" w:space="0" w:themeColor="light1"/>
        </w:tcBorders>
      </w:tcPr>
    </w:tblStylePr>
  </w:style>
  <w:style w:type="table" w:styleId="748">
    <w:name w:val="Grid Table 5 Dark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4" w:themeFillTint="34"/>
    </w:tblPr>
    <w:tblStylePr w:type="band1Horz">
      <w:tcPr>
        <w:shd w:val="clear" w:fill="FFFFFF" w:color="FFFFFF" w:themeFill="accent4" w:themeFillTint="75"/>
      </w:tcPr>
    </w:tblStylePr>
    <w:tblStylePr w:type="band1Vert">
      <w:tcPr>
        <w:shd w:val="clear" w:fill="FFFFFF" w:color="FFFFFF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4"/>
        <w:tcBorders>
          <w:top w:val="single" w:color="000000" w:sz="4" w:space="0" w:themeColor="light1"/>
        </w:tcBorders>
      </w:tcPr>
    </w:tblStylePr>
  </w:style>
  <w:style w:type="table" w:styleId="749">
    <w:name w:val="Grid Table 5 Dark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5" w:themeFillTint="34"/>
    </w:tblPr>
    <w:tblStylePr w:type="band1Horz">
      <w:tcPr>
        <w:shd w:val="clear" w:fill="FFFFFF" w:color="FFFFFF" w:themeFill="accent5" w:themeFillTint="75"/>
      </w:tcPr>
    </w:tblStylePr>
    <w:tblStylePr w:type="band1Vert">
      <w:tcPr>
        <w:shd w:val="clear" w:fill="FFFFFF" w:color="FFFFFF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5"/>
        <w:tcBorders>
          <w:top w:val="single" w:color="000000" w:sz="4" w:space="0" w:themeColor="light1"/>
        </w:tcBorders>
      </w:tcPr>
    </w:tblStylePr>
  </w:style>
  <w:style w:type="table" w:styleId="750">
    <w:name w:val="Grid Table 5 Dark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6" w:themeFillTint="34"/>
    </w:tblPr>
    <w:tblStylePr w:type="band1Horz">
      <w:tcPr>
        <w:shd w:val="clear" w:fill="FFFFFF" w:color="FFFFFF" w:themeFill="accent6" w:themeFillTint="75"/>
      </w:tcPr>
    </w:tblStylePr>
    <w:tblStylePr w:type="band1Vert">
      <w:tcPr>
        <w:shd w:val="clear" w:fill="FFFFFF" w:color="FFFFFF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6"/>
        <w:tcBorders>
          <w:top w:val="single" w:color="000000" w:sz="4" w:space="0" w:themeColor="light1"/>
        </w:tcBorders>
      </w:tcPr>
    </w:tblStylePr>
  </w:style>
  <w:style w:type="table" w:styleId="751">
    <w:name w:val="Grid Table 6 Colorful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fill="FFFFFF" w:color="FFFFFF" w:themeFill="text1" w:themeFillTint="34"/>
      </w:tcPr>
    </w:tblStylePr>
    <w:tblStylePr w:type="band1Vert">
      <w:tcPr>
        <w:shd w:val="clear" w:fill="FFFFFF" w:color="FFFFFF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52">
    <w:name w:val="Grid Table 6 Colorful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fill="FFFFFF" w:color="FFFFFF" w:themeFill="accent1" w:themeFillTint="34"/>
      </w:tcPr>
    </w:tblStylePr>
    <w:tblStylePr w:type="band1Vert">
      <w:tcPr>
        <w:shd w:val="clear" w:fill="FFFFFF" w:color="FFFFFF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53">
    <w:name w:val="Grid Table 6 Colorful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fill="FFFFFF" w:color="FFFFFF" w:themeFill="accent2" w:themeFillTint="32"/>
      </w:tcPr>
    </w:tblStylePr>
    <w:tblStylePr w:type="band1Vert">
      <w:tcPr>
        <w:shd w:val="clear" w:fill="FFFFFF" w:color="FFFFFF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54">
    <w:name w:val="Grid Table 6 Colorful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fill="FFFFFF" w:color="FFFFFF" w:themeFill="accent3" w:themeFillTint="34"/>
      </w:tcPr>
    </w:tblStylePr>
    <w:tblStylePr w:type="band1Vert">
      <w:tcPr>
        <w:shd w:val="clear" w:fill="FFFFFF" w:color="FFFFFF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55">
    <w:name w:val="Grid Table 6 Colorful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fill="FFFFFF" w:color="FFFFFF" w:themeFill="accent4" w:themeFillTint="34"/>
      </w:tcPr>
    </w:tblStylePr>
    <w:tblStylePr w:type="band1Vert">
      <w:tcPr>
        <w:shd w:val="clear" w:fill="FFFFFF" w:color="FFFFFF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56">
    <w:name w:val="Grid Table 6 Colorful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fill="FFFFFF" w:color="FFFFFF" w:themeFill="accent5" w:themeFillTint="34"/>
      </w:tcPr>
    </w:tblStylePr>
    <w:tblStylePr w:type="band1Vert">
      <w:tcPr>
        <w:shd w:val="clear" w:fill="FFFFFF" w:color="FFFFFF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7">
    <w:name w:val="Grid Table 6 Colorful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fill="FFFFFF" w:color="FFFFFF" w:themeFill="accent6" w:themeFillTint="34"/>
      </w:tcPr>
    </w:tblStylePr>
    <w:tblStylePr w:type="band1Vert">
      <w:tcPr>
        <w:shd w:val="clear" w:fill="FFFFFF" w:color="FFFFFF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8">
    <w:name w:val="Grid Table 7 Colorful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fill="FFFFFF" w:color="FFFFFF" w:themeFill="text1" w:themeFillTint="0D"/>
      </w:tcPr>
    </w:tblStylePr>
    <w:tblStylePr w:type="band1Vert">
      <w:tcPr>
        <w:shd w:val="clear" w:fill="FFFFFF" w:color="FFFFFF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</w:style>
  <w:style w:type="table" w:styleId="759">
    <w:name w:val="Grid Table 7 Colorful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fill="FFFFFF" w:color="FFFFFF" w:themeFill="accent1" w:themeFillTint="34"/>
      </w:tcPr>
    </w:tblStylePr>
    <w:tblStylePr w:type="band1Vert">
      <w:tcPr>
        <w:shd w:val="clear" w:fill="FFFFFF" w:color="FFFFFF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fill="FFFFFF" w:color="FFFFFF"/>
        <w:tcBorders>
          <w:left w:val="single" w:color="000000" w:sz="4" w:space="0" w:themeColor="accen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1" w:themeTint="80"/>
          <w:right w:val="none" w:color="000000" w:sz="4" w:space="0"/>
          <w:bottom w:val="none" w:color="000000" w:sz="4" w:space="0"/>
        </w:tcBorders>
      </w:tcPr>
    </w:tblStylePr>
  </w:style>
  <w:style w:type="table" w:styleId="760">
    <w:name w:val="Grid Table 7 Colorful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fill="FFFFFF" w:color="FFFFFF" w:themeFill="accent2" w:themeFillTint="32"/>
      </w:tcPr>
    </w:tblStylePr>
    <w:tblStylePr w:type="band1Vert">
      <w:tcPr>
        <w:shd w:val="clear" w:fill="FFFFFF" w:color="FFFFFF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fill="FFFFFF"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761">
    <w:name w:val="Grid Table 7 Colorful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fill="FFFFFF" w:color="FFFFFF" w:themeFill="accent3" w:themeFillTint="34"/>
      </w:tcPr>
    </w:tblStylePr>
    <w:tblStylePr w:type="band1Vert">
      <w:tcPr>
        <w:shd w:val="clear" w:fill="FFFFFF" w:color="FFFFFF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FE"/>
          <w:bottom w:val="none" w:color="000000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fill="FFFFFF" w:color="FFFFFF"/>
        <w:tcBorders>
          <w:left w:val="single" w:color="000000" w:sz="4" w:space="0" w:themeColor="accent3" w:themeTint="FE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762">
    <w:name w:val="Grid Table 7 Colorful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fill="FFFFFF" w:color="FFFFFF" w:themeFill="accent4" w:themeFillTint="34"/>
      </w:tcPr>
    </w:tblStylePr>
    <w:tblStylePr w:type="band1Vert">
      <w:tcPr>
        <w:shd w:val="clear" w:fill="FFFFFF" w:color="FFFFFF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fill="FFFFFF"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763">
    <w:name w:val="Grid Table 7 Colorful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fill="FFFFFF" w:color="FFFFFF" w:themeFill="accent5" w:themeFillTint="34"/>
      </w:tcPr>
    </w:tblStylePr>
    <w:tblStylePr w:type="band1Vert">
      <w:tcPr>
        <w:shd w:val="clear" w:fill="FFFFFF" w:color="FFFFFF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fill="FFFFFF" w:color="FFFFFF"/>
        <w:tcBorders>
          <w:left w:val="single" w:color="000000" w:sz="4" w:space="0" w:themeColor="accent5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none" w:color="000000" w:sz="4" w:space="0"/>
        </w:tcBorders>
      </w:tcPr>
    </w:tblStylePr>
  </w:style>
  <w:style w:type="table" w:styleId="764">
    <w:name w:val="Grid Table 7 Colorful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fill="FFFFFF" w:color="FFFFFF" w:themeFill="accent6" w:themeFillTint="34"/>
      </w:tcPr>
    </w:tblStylePr>
    <w:tblStylePr w:type="band1Vert">
      <w:tcPr>
        <w:shd w:val="clear" w:fill="FFFFFF" w:color="FFFFFF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fill="FFFFFF" w:color="FFFFFF"/>
        <w:tcBorders>
          <w:left w:val="single" w:color="000000" w:sz="4" w:space="0" w:themeColor="accent6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none" w:color="000000" w:sz="4" w:space="0"/>
        </w:tcBorders>
      </w:tcPr>
    </w:tblStylePr>
  </w:style>
  <w:style w:type="table" w:styleId="765">
    <w:name w:val="List Table 1 Light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766">
    <w:name w:val="List Table 1 Light - Accent 1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767">
    <w:name w:val="List Table 1 Light - Accent 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768">
    <w:name w:val="List Table 1 Light - Accent 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769">
    <w:name w:val="List Table 1 Light - Accent 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770">
    <w:name w:val="List Table 1 Light - Accent 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771">
    <w:name w:val="List Table 1 Light - Accent 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772">
    <w:name w:val="List Table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773">
    <w:name w:val="List Table 2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774">
    <w:name w:val="List Table 2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775">
    <w:name w:val="List Table 2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776">
    <w:name w:val="List Table 2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777">
    <w:name w:val="List Table 2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778">
    <w:name w:val="List Table 2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779">
    <w:name w:val="List Table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3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3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3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3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3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3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4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4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4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4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4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4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5 Dark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fill="FFFFFF" w:color="FFFFFF" w:themeFill="text1" w:themeFillTint="80"/>
    </w:tblPr>
    <w:tblStylePr w:type="band1Horz">
      <w:tcPr>
        <w:shd w:val="clear" w:fill="FFFFFF" w:color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text1" w:themeFill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text1" w:themeFill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4">
    <w:name w:val="List Table 5 Dark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fill="FFFFFF" w:color="FFFFFF" w:themeFill="accent1"/>
    </w:tblPr>
    <w:tblStylePr w:type="band1Horz">
      <w:tcPr>
        <w:shd w:val="clear" w:fill="FFFFFF" w:color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5">
    <w:name w:val="List Table 5 Dark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fill="FFFFFF" w:color="FFFFFF" w:themeFill="accent2" w:themeFillTint="97"/>
    </w:tblPr>
    <w:tblStylePr w:type="band1Horz">
      <w:tcPr>
        <w:shd w:val="clear" w:fill="FFFFFF" w:color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2" w:themeFill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2" w:themeFill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6">
    <w:name w:val="List Table 5 Dark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fill="FFFFFF" w:color="FFFFFF" w:themeFill="accent3" w:themeFillTint="98"/>
    </w:tblPr>
    <w:tblStylePr w:type="band1Horz">
      <w:tcPr>
        <w:shd w:val="clear" w:fill="FFFFFF" w:color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3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3" w:themeFill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7">
    <w:name w:val="List Table 5 Dark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fill="FFFFFF" w:color="FFFFFF" w:themeFill="accent4" w:themeFillTint="9A"/>
    </w:tblPr>
    <w:tblStylePr w:type="band1Horz">
      <w:tcPr>
        <w:shd w:val="clear" w:fill="FFFFFF" w:color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4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4" w:themeFill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8">
    <w:name w:val="List Table 5 Dark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fill="FFFFFF" w:color="FFFFFF" w:themeFill="accent5" w:themeFillTint="9A"/>
    </w:tblPr>
    <w:tblStylePr w:type="band1Horz">
      <w:tcPr>
        <w:shd w:val="clear" w:fill="FFFFFF" w:color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5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5" w:themeFill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9">
    <w:name w:val="List Table 5 Dark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fill="FFFFFF" w:color="FFFFFF" w:themeFill="accent6" w:themeFillTint="98"/>
    </w:tblPr>
    <w:tblStylePr w:type="band1Horz">
      <w:tcPr>
        <w:shd w:val="clear" w:fill="FFFFFF" w:color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6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6" w:themeFill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0">
    <w:name w:val="List Table 6 Colorful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801">
    <w:name w:val="List Table 6 Colorful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802">
    <w:name w:val="List Table 6 Colorful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803">
    <w:name w:val="List Table 6 Colorful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804">
    <w:name w:val="List Table 6 Colorful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805">
    <w:name w:val="List Table 6 Colorful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806">
    <w:name w:val="List Table 6 Colorful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807">
    <w:name w:val="List Table 7 Colorful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08">
    <w:name w:val="List Table 7 Colorful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1"/>
          <w:bottom w:val="none" w:color="000000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fill="FFFFFF" w:color="FFFFFF"/>
        <w:tcBorders>
          <w:left w:val="single" w:color="000000" w:sz="4" w:space="0" w:themeColor="accent1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09">
    <w:name w:val="List Table 7 Colorful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fill="FFFFFF"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10">
    <w:name w:val="List Table 7 Colorful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fill="FFFFFF" w:color="FFFFFF"/>
        <w:tcBorders>
          <w:left w:val="single" w:color="000000" w:sz="4" w:space="0" w:themeColor="accent3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3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11">
    <w:name w:val="List Table 7 Colorful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fill="FFFFFF"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12">
    <w:name w:val="List Table 7 Colorful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fill="FFFFFF" w:color="FFFFFF"/>
        <w:tcBorders>
          <w:left w:val="single" w:color="000000" w:sz="4" w:space="0" w:themeColor="accent5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5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13">
    <w:name w:val="List Table 7 Colorful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fill="FFFFFF" w:color="FFFFFF"/>
        <w:tcBorders>
          <w:left w:val="single" w:color="000000" w:sz="4" w:space="0" w:themeColor="accent6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6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14">
    <w:name w:val="Lined - Accent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</w:style>
  <w:style w:type="table" w:styleId="815">
    <w:name w:val="Lined - Accent 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</w:style>
  <w:style w:type="table" w:styleId="816">
    <w:name w:val="Lined - Accent 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</w:style>
  <w:style w:type="table" w:styleId="817">
    <w:name w:val="Lined - Accent 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</w:style>
  <w:style w:type="table" w:styleId="818">
    <w:name w:val="Lined - Accent 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</w:style>
  <w:style w:type="table" w:styleId="819">
    <w:name w:val="Lined - Accent 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</w:style>
  <w:style w:type="table" w:styleId="820">
    <w:name w:val="Lined - Accent 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</w:style>
  <w:style w:type="table" w:styleId="821">
    <w:name w:val="Bordered &amp; Lined - Accent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</w:style>
  <w:style w:type="table" w:styleId="822">
    <w:name w:val="Bordered &amp; Lined - Accent 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</w:style>
  <w:style w:type="table" w:styleId="823">
    <w:name w:val="Bordered &amp; Lined - Accent 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</w:style>
  <w:style w:type="table" w:styleId="824">
    <w:name w:val="Bordered &amp; Lined - Accent 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</w:style>
  <w:style w:type="table" w:styleId="825">
    <w:name w:val="Bordered &amp; Lined - Accent 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</w:style>
  <w:style w:type="table" w:styleId="826">
    <w:name w:val="Bordered &amp; Lined - Accent 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</w:style>
  <w:style w:type="table" w:styleId="827">
    <w:name w:val="Bordered &amp; Lined - Accent 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</w:style>
  <w:style w:type="table" w:styleId="828">
    <w:name w:val="Bordered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829">
    <w:name w:val="Bordered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830">
    <w:name w:val="Bordered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831">
    <w:name w:val="Bordered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832">
    <w:name w:val="Bordered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833">
    <w:name w:val="Bordered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834">
    <w:name w:val="Bordered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character" w:styleId="835">
    <w:name w:val="Hyperlink"/>
    <w:uiPriority w:val="99"/>
    <w:unhideWhenUsed/>
    <w:rPr>
      <w:color w:val="0000FF" w:themeColor="hyperlink"/>
      <w:u w:val="single"/>
    </w:rPr>
  </w:style>
  <w:style w:type="paragraph" w:styleId="836">
    <w:name w:val="footnote text"/>
    <w:link w:val="837"/>
    <w:uiPriority w:val="99"/>
    <w:semiHidden/>
    <w:unhideWhenUsed/>
    <w:rPr>
      <w:sz w:val="18"/>
    </w:rPr>
    <w:pPr>
      <w:spacing w:lineRule="auto" w:line="240" w:after="40"/>
    </w:pPr>
  </w:style>
  <w:style w:type="character" w:styleId="837">
    <w:name w:val="Footnote Text Char"/>
    <w:link w:val="836"/>
    <w:uiPriority w:val="99"/>
    <w:rPr>
      <w:sz w:val="18"/>
    </w:rPr>
  </w:style>
  <w:style w:type="character" w:styleId="838">
    <w:name w:val="footnote reference"/>
    <w:uiPriority w:val="99"/>
    <w:unhideWhenUsed/>
    <w:rPr>
      <w:vertAlign w:val="superscript"/>
    </w:rPr>
  </w:style>
  <w:style w:type="paragraph" w:styleId="839">
    <w:name w:val="endnote text"/>
    <w:link w:val="840"/>
    <w:uiPriority w:val="99"/>
    <w:semiHidden/>
    <w:unhideWhenUsed/>
    <w:rPr>
      <w:sz w:val="20"/>
    </w:rPr>
    <w:pPr>
      <w:spacing w:lineRule="auto" w:line="240" w:after="0"/>
    </w:pPr>
  </w:style>
  <w:style w:type="character" w:styleId="840">
    <w:name w:val="Endnote Text Char"/>
    <w:link w:val="839"/>
    <w:uiPriority w:val="99"/>
    <w:rPr>
      <w:sz w:val="20"/>
    </w:rPr>
  </w:style>
  <w:style w:type="character" w:styleId="841">
    <w:name w:val="endnote reference"/>
    <w:uiPriority w:val="99"/>
    <w:semiHidden/>
    <w:unhideWhenUsed/>
    <w:rPr>
      <w:vertAlign w:val="superscript"/>
    </w:rPr>
  </w:style>
  <w:style w:type="paragraph" w:styleId="842">
    <w:name w:val="toc 1"/>
    <w:uiPriority w:val="39"/>
    <w:unhideWhenUsed/>
    <w:pPr>
      <w:ind w:left="0" w:right="0" w:firstLine="0"/>
      <w:spacing w:after="57"/>
    </w:pPr>
  </w:style>
  <w:style w:type="paragraph" w:styleId="843">
    <w:name w:val="toc 2"/>
    <w:uiPriority w:val="39"/>
    <w:unhideWhenUsed/>
    <w:pPr>
      <w:ind w:left="283" w:right="0" w:firstLine="0"/>
      <w:spacing w:after="57"/>
    </w:pPr>
  </w:style>
  <w:style w:type="paragraph" w:styleId="844">
    <w:name w:val="toc 3"/>
    <w:uiPriority w:val="39"/>
    <w:unhideWhenUsed/>
    <w:pPr>
      <w:ind w:left="567" w:right="0" w:firstLine="0"/>
      <w:spacing w:after="57"/>
    </w:pPr>
  </w:style>
  <w:style w:type="paragraph" w:styleId="845">
    <w:name w:val="toc 4"/>
    <w:uiPriority w:val="39"/>
    <w:unhideWhenUsed/>
    <w:pPr>
      <w:ind w:left="850" w:right="0" w:firstLine="0"/>
      <w:spacing w:after="57"/>
    </w:pPr>
  </w:style>
  <w:style w:type="paragraph" w:styleId="846">
    <w:name w:val="toc 5"/>
    <w:uiPriority w:val="39"/>
    <w:unhideWhenUsed/>
    <w:pPr>
      <w:ind w:left="1134" w:right="0" w:firstLine="0"/>
      <w:spacing w:after="57"/>
    </w:pPr>
  </w:style>
  <w:style w:type="paragraph" w:styleId="847">
    <w:name w:val="toc 6"/>
    <w:uiPriority w:val="39"/>
    <w:unhideWhenUsed/>
    <w:pPr>
      <w:ind w:left="1417" w:right="0" w:firstLine="0"/>
      <w:spacing w:after="57"/>
    </w:pPr>
  </w:style>
  <w:style w:type="paragraph" w:styleId="848">
    <w:name w:val="toc 7"/>
    <w:uiPriority w:val="39"/>
    <w:unhideWhenUsed/>
    <w:pPr>
      <w:ind w:left="1701" w:right="0" w:firstLine="0"/>
      <w:spacing w:after="57"/>
    </w:pPr>
  </w:style>
  <w:style w:type="paragraph" w:styleId="849">
    <w:name w:val="toc 8"/>
    <w:uiPriority w:val="39"/>
    <w:unhideWhenUsed/>
    <w:pPr>
      <w:ind w:left="1984" w:right="0" w:firstLine="0"/>
      <w:spacing w:after="57"/>
    </w:pPr>
  </w:style>
  <w:style w:type="paragraph" w:styleId="850">
    <w:name w:val="toc 9"/>
    <w:uiPriority w:val="39"/>
    <w:unhideWhenUsed/>
    <w:pPr>
      <w:ind w:left="2268" w:right="0" w:firstLine="0"/>
      <w:spacing w:after="57"/>
    </w:pPr>
  </w:style>
  <w:style w:type="paragraph" w:styleId="851">
    <w:name w:val="TOC Heading"/>
    <w:uiPriority w:val="39"/>
    <w:unhideWhenUsed/>
  </w:style>
  <w:style w:type="paragraph" w:styleId="852">
    <w:name w:val="Обычный"/>
    <w:next w:val="852"/>
    <w:link w:val="852"/>
    <w:rPr>
      <w:rFonts w:ascii="Times New Roman" w:hAnsi="Times New Roman" w:eastAsia="Times New Roman"/>
      <w:color w:val="auto"/>
      <w:sz w:val="24"/>
      <w:szCs w:val="24"/>
      <w:lang w:val="ru-RU" w:bidi="ar-SA" w:eastAsia="ar-SA"/>
    </w:rPr>
    <w:pPr>
      <w:widowControl/>
    </w:pPr>
  </w:style>
  <w:style w:type="character" w:styleId="853">
    <w:name w:val="Основной шрифт абзаца"/>
    <w:next w:val="853"/>
    <w:link w:val="852"/>
    <w:semiHidden/>
  </w:style>
  <w:style w:type="table" w:styleId="854">
    <w:name w:val="Обычная таблица"/>
    <w:next w:val="854"/>
    <w:link w:val="852"/>
    <w:semiHidden/>
    <w:tblPr/>
  </w:style>
  <w:style w:type="numbering" w:styleId="855">
    <w:name w:val="Нет списка"/>
    <w:next w:val="855"/>
    <w:link w:val="852"/>
    <w:semiHidden/>
  </w:style>
  <w:style w:type="character" w:styleId="856">
    <w:name w:val="WW8Num1z0"/>
    <w:next w:val="856"/>
    <w:link w:val="852"/>
    <w:rPr>
      <w:rFonts w:ascii="Symbol" w:hAnsi="Symbol"/>
      <w:color w:val="0000FF"/>
    </w:rPr>
  </w:style>
  <w:style w:type="character" w:styleId="857">
    <w:name w:val="WW8Num2z0"/>
    <w:next w:val="857"/>
    <w:link w:val="852"/>
  </w:style>
  <w:style w:type="character" w:styleId="858">
    <w:name w:val="WW8Num3z0"/>
    <w:next w:val="858"/>
    <w:link w:val="852"/>
  </w:style>
  <w:style w:type="character" w:styleId="859">
    <w:name w:val="WW8Num4z0"/>
    <w:next w:val="859"/>
    <w:link w:val="852"/>
  </w:style>
  <w:style w:type="character" w:styleId="860">
    <w:name w:val="WW8Num4z1"/>
    <w:next w:val="860"/>
    <w:link w:val="852"/>
  </w:style>
  <w:style w:type="character" w:styleId="861">
    <w:name w:val="WW8Num4z2"/>
    <w:next w:val="861"/>
    <w:link w:val="852"/>
  </w:style>
  <w:style w:type="character" w:styleId="862">
    <w:name w:val="WW8Num4z3"/>
    <w:next w:val="862"/>
    <w:link w:val="852"/>
  </w:style>
  <w:style w:type="character" w:styleId="863">
    <w:name w:val="WW8Num4z4"/>
    <w:next w:val="863"/>
    <w:link w:val="852"/>
  </w:style>
  <w:style w:type="character" w:styleId="864">
    <w:name w:val="WW8Num4z5"/>
    <w:next w:val="864"/>
    <w:link w:val="852"/>
  </w:style>
  <w:style w:type="character" w:styleId="865">
    <w:name w:val="WW8Num4z6"/>
    <w:next w:val="865"/>
    <w:link w:val="852"/>
  </w:style>
  <w:style w:type="character" w:styleId="866">
    <w:name w:val="WW8Num4z7"/>
    <w:next w:val="866"/>
    <w:link w:val="852"/>
  </w:style>
  <w:style w:type="character" w:styleId="867">
    <w:name w:val="WW8Num4z8"/>
    <w:next w:val="867"/>
    <w:link w:val="852"/>
  </w:style>
  <w:style w:type="character" w:styleId="868">
    <w:name w:val="Основной шрифт абзаца5"/>
    <w:next w:val="868"/>
    <w:link w:val="852"/>
  </w:style>
  <w:style w:type="character" w:styleId="869">
    <w:name w:val="WW8Num5z0"/>
    <w:next w:val="869"/>
    <w:link w:val="852"/>
  </w:style>
  <w:style w:type="character" w:styleId="870">
    <w:name w:val="WW8Num5z1"/>
    <w:next w:val="870"/>
    <w:link w:val="852"/>
  </w:style>
  <w:style w:type="character" w:styleId="871">
    <w:name w:val="WW8Num5z2"/>
    <w:next w:val="871"/>
    <w:link w:val="852"/>
  </w:style>
  <w:style w:type="character" w:styleId="872">
    <w:name w:val="WW8Num5z3"/>
    <w:next w:val="872"/>
    <w:link w:val="852"/>
  </w:style>
  <w:style w:type="character" w:styleId="873">
    <w:name w:val="WW8Num5z4"/>
    <w:next w:val="873"/>
    <w:link w:val="852"/>
  </w:style>
  <w:style w:type="character" w:styleId="874">
    <w:name w:val="WW8Num5z5"/>
    <w:next w:val="874"/>
    <w:link w:val="852"/>
  </w:style>
  <w:style w:type="character" w:styleId="875">
    <w:name w:val="WW8Num5z6"/>
    <w:next w:val="875"/>
    <w:link w:val="852"/>
  </w:style>
  <w:style w:type="character" w:styleId="876">
    <w:name w:val="WW8Num5z7"/>
    <w:next w:val="876"/>
    <w:link w:val="852"/>
  </w:style>
  <w:style w:type="character" w:styleId="877">
    <w:name w:val="WW8Num5z8"/>
    <w:next w:val="877"/>
    <w:link w:val="852"/>
  </w:style>
  <w:style w:type="character" w:styleId="878">
    <w:name w:val="WW8Num6z0"/>
    <w:next w:val="878"/>
    <w:link w:val="852"/>
  </w:style>
  <w:style w:type="character" w:styleId="879">
    <w:name w:val="WW8Num6z1"/>
    <w:next w:val="879"/>
    <w:link w:val="852"/>
  </w:style>
  <w:style w:type="character" w:styleId="880">
    <w:name w:val="WW8Num6z2"/>
    <w:next w:val="880"/>
    <w:link w:val="852"/>
  </w:style>
  <w:style w:type="character" w:styleId="881">
    <w:name w:val="WW8Num7z0"/>
    <w:next w:val="881"/>
    <w:link w:val="852"/>
  </w:style>
  <w:style w:type="character" w:styleId="882">
    <w:name w:val="WW8Num7z1"/>
    <w:next w:val="882"/>
    <w:link w:val="852"/>
  </w:style>
  <w:style w:type="character" w:styleId="883">
    <w:name w:val="WW8Num7z2"/>
    <w:next w:val="883"/>
    <w:link w:val="852"/>
  </w:style>
  <w:style w:type="character" w:styleId="884">
    <w:name w:val="Основной шрифт абзаца4"/>
    <w:next w:val="884"/>
    <w:link w:val="852"/>
  </w:style>
  <w:style w:type="character" w:styleId="885">
    <w:name w:val="WW8Num6z3"/>
    <w:next w:val="885"/>
    <w:link w:val="852"/>
  </w:style>
  <w:style w:type="character" w:styleId="886">
    <w:name w:val="WW8Num6z4"/>
    <w:next w:val="886"/>
    <w:link w:val="852"/>
  </w:style>
  <w:style w:type="character" w:styleId="887">
    <w:name w:val="WW8Num6z5"/>
    <w:next w:val="887"/>
    <w:link w:val="852"/>
  </w:style>
  <w:style w:type="character" w:styleId="888">
    <w:name w:val="WW8Num6z6"/>
    <w:next w:val="888"/>
    <w:link w:val="852"/>
  </w:style>
  <w:style w:type="character" w:styleId="889">
    <w:name w:val="WW8Num6z7"/>
    <w:next w:val="889"/>
    <w:link w:val="852"/>
  </w:style>
  <w:style w:type="character" w:styleId="890">
    <w:name w:val="WW8Num6z8"/>
    <w:next w:val="890"/>
    <w:link w:val="852"/>
  </w:style>
  <w:style w:type="character" w:styleId="891">
    <w:name w:val="Основной шрифт абзаца3"/>
    <w:next w:val="891"/>
    <w:link w:val="852"/>
  </w:style>
  <w:style w:type="character" w:styleId="892">
    <w:name w:val="WW8Num2z1"/>
    <w:next w:val="892"/>
    <w:link w:val="852"/>
  </w:style>
  <w:style w:type="character" w:styleId="893">
    <w:name w:val="WW8Num2z2"/>
    <w:next w:val="893"/>
    <w:link w:val="852"/>
  </w:style>
  <w:style w:type="character" w:styleId="894">
    <w:name w:val="WW8Num2z3"/>
    <w:next w:val="894"/>
    <w:link w:val="852"/>
  </w:style>
  <w:style w:type="character" w:styleId="895">
    <w:name w:val="WW8Num2z4"/>
    <w:next w:val="895"/>
    <w:link w:val="852"/>
  </w:style>
  <w:style w:type="character" w:styleId="896">
    <w:name w:val="WW8Num2z5"/>
    <w:next w:val="896"/>
    <w:link w:val="852"/>
  </w:style>
  <w:style w:type="character" w:styleId="897">
    <w:name w:val="WW8Num2z6"/>
    <w:next w:val="897"/>
    <w:link w:val="852"/>
  </w:style>
  <w:style w:type="character" w:styleId="898">
    <w:name w:val="WW8Num2z7"/>
    <w:next w:val="898"/>
    <w:link w:val="852"/>
  </w:style>
  <w:style w:type="character" w:styleId="899">
    <w:name w:val="WW8Num2z8"/>
    <w:next w:val="899"/>
    <w:link w:val="852"/>
  </w:style>
  <w:style w:type="character" w:styleId="900">
    <w:name w:val="Основной шрифт абзаца2"/>
    <w:next w:val="900"/>
    <w:link w:val="852"/>
  </w:style>
  <w:style w:type="character" w:styleId="901">
    <w:name w:val="WW8Num3z1"/>
    <w:next w:val="901"/>
    <w:link w:val="852"/>
  </w:style>
  <w:style w:type="character" w:styleId="902">
    <w:name w:val="WW8Num3z2"/>
    <w:next w:val="902"/>
    <w:link w:val="852"/>
  </w:style>
  <w:style w:type="character" w:styleId="903">
    <w:name w:val="WW8Num3z3"/>
    <w:next w:val="903"/>
    <w:link w:val="852"/>
  </w:style>
  <w:style w:type="character" w:styleId="904">
    <w:name w:val="WW8Num3z4"/>
    <w:next w:val="904"/>
    <w:link w:val="852"/>
  </w:style>
  <w:style w:type="character" w:styleId="905">
    <w:name w:val="WW8Num3z5"/>
    <w:next w:val="905"/>
    <w:link w:val="852"/>
  </w:style>
  <w:style w:type="character" w:styleId="906">
    <w:name w:val="WW8Num3z6"/>
    <w:next w:val="906"/>
    <w:link w:val="852"/>
  </w:style>
  <w:style w:type="character" w:styleId="907">
    <w:name w:val="WW8Num3z7"/>
    <w:next w:val="907"/>
    <w:link w:val="852"/>
  </w:style>
  <w:style w:type="character" w:styleId="908">
    <w:name w:val="WW8Num3z8"/>
    <w:next w:val="908"/>
    <w:link w:val="852"/>
  </w:style>
  <w:style w:type="character" w:styleId="909">
    <w:name w:val="WW8Num7z3"/>
    <w:next w:val="909"/>
    <w:link w:val="852"/>
  </w:style>
  <w:style w:type="character" w:styleId="910">
    <w:name w:val="WW8Num7z4"/>
    <w:next w:val="910"/>
    <w:link w:val="852"/>
  </w:style>
  <w:style w:type="character" w:styleId="911">
    <w:name w:val="WW8Num7z5"/>
    <w:next w:val="911"/>
    <w:link w:val="852"/>
  </w:style>
  <w:style w:type="character" w:styleId="912">
    <w:name w:val="WW8Num7z6"/>
    <w:next w:val="912"/>
    <w:link w:val="852"/>
  </w:style>
  <w:style w:type="character" w:styleId="913">
    <w:name w:val="WW8Num7z7"/>
    <w:next w:val="913"/>
    <w:link w:val="852"/>
  </w:style>
  <w:style w:type="character" w:styleId="914">
    <w:name w:val="WW8Num7z8"/>
    <w:next w:val="914"/>
    <w:link w:val="852"/>
  </w:style>
  <w:style w:type="character" w:styleId="915">
    <w:name w:val="Основной шрифт абзаца1"/>
    <w:next w:val="915"/>
    <w:link w:val="852"/>
  </w:style>
  <w:style w:type="character" w:styleId="916">
    <w:name w:val="Гиперссылка"/>
    <w:next w:val="916"/>
    <w:link w:val="852"/>
    <w:rPr>
      <w:color w:val="000080"/>
      <w:u w:val="single"/>
      <w:lang w:val="en-US" w:bidi="en-US" w:eastAsia="en-US"/>
    </w:rPr>
  </w:style>
  <w:style w:type="character" w:styleId="917">
    <w:name w:val="Маркеры списка"/>
    <w:next w:val="917"/>
    <w:link w:val="852"/>
    <w:rPr>
      <w:rFonts w:ascii="OpenSymbol" w:hAnsi="OpenSymbol" w:eastAsia="OpenSymbol"/>
    </w:rPr>
  </w:style>
  <w:style w:type="character" w:styleId="918">
    <w:name w:val="Символ нумерации"/>
    <w:next w:val="918"/>
    <w:link w:val="852"/>
  </w:style>
  <w:style w:type="paragraph" w:styleId="919">
    <w:name w:val="Заголовок"/>
    <w:basedOn w:val="852"/>
    <w:next w:val="920"/>
    <w:link w:val="852"/>
    <w:rPr>
      <w:rFonts w:ascii="Arial" w:hAnsi="Arial" w:eastAsia="Microsoft YaHei"/>
      <w:sz w:val="28"/>
      <w:szCs w:val="28"/>
    </w:rPr>
    <w:pPr>
      <w:keepNext/>
      <w:spacing w:after="120" w:before="240"/>
    </w:pPr>
  </w:style>
  <w:style w:type="paragraph" w:styleId="920">
    <w:name w:val="Основной текст"/>
    <w:basedOn w:val="852"/>
    <w:next w:val="920"/>
    <w:link w:val="852"/>
    <w:pPr>
      <w:spacing w:after="120" w:before="0"/>
    </w:pPr>
  </w:style>
  <w:style w:type="paragraph" w:styleId="921">
    <w:name w:val="Список"/>
    <w:basedOn w:val="920"/>
    <w:next w:val="921"/>
    <w:link w:val="852"/>
  </w:style>
  <w:style w:type="paragraph" w:styleId="922">
    <w:name w:val="Название5"/>
    <w:basedOn w:val="852"/>
    <w:next w:val="922"/>
    <w:link w:val="852"/>
    <w:rPr>
      <w:i/>
      <w:iCs/>
      <w:sz w:val="24"/>
      <w:szCs w:val="24"/>
    </w:rPr>
    <w:pPr>
      <w:spacing w:after="120" w:before="120"/>
      <w:suppressLineNumbers/>
    </w:pPr>
  </w:style>
  <w:style w:type="paragraph" w:styleId="923">
    <w:name w:val="Указатель5"/>
    <w:basedOn w:val="852"/>
    <w:next w:val="923"/>
    <w:link w:val="852"/>
    <w:pPr>
      <w:suppressLineNumbers/>
    </w:pPr>
  </w:style>
  <w:style w:type="paragraph" w:styleId="924">
    <w:name w:val="Название4"/>
    <w:basedOn w:val="852"/>
    <w:next w:val="924"/>
    <w:link w:val="852"/>
    <w:rPr>
      <w:i/>
      <w:iCs/>
      <w:sz w:val="24"/>
      <w:szCs w:val="24"/>
    </w:rPr>
    <w:pPr>
      <w:spacing w:after="120" w:before="120"/>
      <w:suppressLineNumbers/>
    </w:pPr>
  </w:style>
  <w:style w:type="paragraph" w:styleId="925">
    <w:name w:val="Указатель4"/>
    <w:basedOn w:val="852"/>
    <w:next w:val="925"/>
    <w:link w:val="852"/>
    <w:pPr>
      <w:suppressLineNumbers/>
    </w:pPr>
  </w:style>
  <w:style w:type="paragraph" w:styleId="926">
    <w:name w:val="Название3"/>
    <w:basedOn w:val="852"/>
    <w:next w:val="926"/>
    <w:link w:val="852"/>
    <w:rPr>
      <w:i/>
      <w:iCs/>
      <w:sz w:val="24"/>
      <w:szCs w:val="24"/>
    </w:rPr>
    <w:pPr>
      <w:spacing w:after="120" w:before="120"/>
      <w:suppressLineNumbers/>
    </w:pPr>
  </w:style>
  <w:style w:type="paragraph" w:styleId="927">
    <w:name w:val="Указатель3"/>
    <w:basedOn w:val="852"/>
    <w:next w:val="927"/>
    <w:link w:val="852"/>
    <w:pPr>
      <w:suppressLineNumbers/>
    </w:pPr>
  </w:style>
  <w:style w:type="paragraph" w:styleId="928">
    <w:name w:val="Название2"/>
    <w:basedOn w:val="852"/>
    <w:next w:val="928"/>
    <w:link w:val="852"/>
    <w:rPr>
      <w:i/>
      <w:iCs/>
      <w:sz w:val="24"/>
      <w:szCs w:val="24"/>
    </w:rPr>
    <w:pPr>
      <w:spacing w:after="120" w:before="120"/>
      <w:suppressLineNumbers/>
    </w:pPr>
  </w:style>
  <w:style w:type="paragraph" w:styleId="929">
    <w:name w:val="Указатель2"/>
    <w:basedOn w:val="852"/>
    <w:next w:val="929"/>
    <w:link w:val="852"/>
    <w:pPr>
      <w:suppressLineNumbers/>
    </w:pPr>
  </w:style>
  <w:style w:type="paragraph" w:styleId="930">
    <w:name w:val="Название1"/>
    <w:basedOn w:val="852"/>
    <w:next w:val="930"/>
    <w:link w:val="852"/>
    <w:rPr>
      <w:i/>
      <w:iCs/>
      <w:sz w:val="24"/>
      <w:szCs w:val="24"/>
    </w:rPr>
    <w:pPr>
      <w:spacing w:after="120" w:before="120"/>
      <w:suppressLineNumbers/>
    </w:pPr>
  </w:style>
  <w:style w:type="paragraph" w:styleId="931">
    <w:name w:val="Указатель1"/>
    <w:basedOn w:val="852"/>
    <w:next w:val="931"/>
    <w:link w:val="852"/>
    <w:pPr>
      <w:suppressLineNumbers/>
    </w:pPr>
  </w:style>
  <w:style w:type="paragraph" w:styleId="932">
    <w:name w:val="Текст выноски"/>
    <w:basedOn w:val="852"/>
    <w:next w:val="932"/>
    <w:link w:val="852"/>
    <w:rPr>
      <w:rFonts w:ascii="Tahoma" w:hAnsi="Tahoma"/>
      <w:sz w:val="16"/>
      <w:szCs w:val="16"/>
    </w:rPr>
  </w:style>
  <w:style w:type="paragraph" w:styleId="933">
    <w:name w:val="ConsPlusNormal"/>
    <w:next w:val="933"/>
    <w:link w:val="852"/>
    <w:rPr>
      <w:rFonts w:ascii="Times New Roman" w:hAnsi="Times New Roman" w:eastAsia="Times New Roman"/>
      <w:color w:val="auto"/>
      <w:sz w:val="24"/>
      <w:szCs w:val="24"/>
      <w:lang w:val="ru-RU" w:bidi="ar-SA" w:eastAsia="ar-SA"/>
    </w:rPr>
    <w:pPr>
      <w:widowControl/>
    </w:pPr>
  </w:style>
  <w:style w:type="paragraph" w:styleId="934">
    <w:name w:val="ConsPlusCell"/>
    <w:next w:val="934"/>
    <w:link w:val="852"/>
    <w:rPr>
      <w:rFonts w:ascii="Courier New" w:hAnsi="Courier New" w:eastAsia="Times New Roman"/>
      <w:color w:val="auto"/>
      <w:sz w:val="20"/>
      <w:szCs w:val="20"/>
      <w:lang w:val="ru-RU" w:bidi="ar-SA" w:eastAsia="ar-SA"/>
    </w:rPr>
    <w:pPr>
      <w:widowControl/>
    </w:pPr>
  </w:style>
  <w:style w:type="paragraph" w:styleId="935">
    <w:name w:val="Содержимое таблицы"/>
    <w:basedOn w:val="852"/>
    <w:next w:val="935"/>
    <w:link w:val="852"/>
    <w:pPr>
      <w:suppressLineNumbers/>
    </w:pPr>
  </w:style>
  <w:style w:type="paragraph" w:styleId="936">
    <w:name w:val="Заголовок таблицы"/>
    <w:basedOn w:val="935"/>
    <w:next w:val="936"/>
    <w:link w:val="852"/>
    <w:rPr>
      <w:b/>
      <w:bCs/>
    </w:rPr>
    <w:pPr>
      <w:jc w:val="center"/>
      <w:suppressLineNumbers/>
    </w:pPr>
  </w:style>
  <w:style w:type="character" w:styleId="937" w:default="1">
    <w:name w:val="Default Paragraph Font"/>
    <w:uiPriority w:val="1"/>
    <w:semiHidden/>
    <w:unhideWhenUsed/>
  </w:style>
  <w:style w:type="numbering" w:styleId="938" w:default="1">
    <w:name w:val="No List"/>
    <w:uiPriority w:val="99"/>
    <w:semiHidden/>
    <w:unhideWhenUsed/>
  </w:style>
  <w:style w:type="paragraph" w:styleId="939" w:default="1">
    <w:name w:val="Normal"/>
    <w:qFormat/>
  </w:style>
  <w:style w:type="table" w:styleId="940" w:default="1">
    <w:name w:val="Normal Table"/>
    <w:uiPriority w:val="99"/>
    <w:semiHidden/>
    <w:unhideWhenUsed/>
    <w:tblPr/>
  </w:style>
  <w:style w:type="paragraph" w:styleId="941">
    <w:name w:val="Базовый"/>
    <w:link w:val="701"/>
    <w:rPr>
      <w:rFonts w:ascii="Times New Roman" w:hAnsi="Times New Roman" w:cs="Times New Roman" w:eastAsia="Times New Roman"/>
      <w:b w:val="false"/>
      <w:bCs w:val="false"/>
      <w:i w:val="false"/>
      <w:iCs w:val="false"/>
      <w:caps w:val="false"/>
      <w:smallCaps w:val="false"/>
      <w:strike w:val="false"/>
      <w:vanish w:val="false"/>
      <w:color w:val="auto"/>
      <w:spacing w:val="0"/>
      <w:position w:val="0"/>
      <w:sz w:val="24"/>
      <w:szCs w:val="24"/>
      <w:highlight w:val="none"/>
      <w:u w:val="none"/>
      <w:vertAlign w:val="baseline"/>
      <w:rtl w:val="false"/>
      <w:cs w:val="false"/>
      <w:lang w:val="ru-RU" w:bidi="ar-SA" w:eastAsia="ar-SA"/>
    </w:rPr>
    <w:pPr>
      <w:contextualSpacing w:val="false"/>
      <w:ind w:left="0" w:right="0" w:firstLine="0"/>
      <w:jc w:val="left"/>
      <w:keepLines w:val="false"/>
      <w:keepNext w:val="false"/>
      <w:pageBreakBefore w:val="false"/>
      <w:spacing w:lineRule="auto" w:line="240" w:after="0" w:afterAutospacing="0" w:before="0" w:beforeAutospacing="0"/>
      <w:shd w:val="nil" w:fill="000000" w:color="000000"/>
      <w:widowControl/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  <w:suppressLineNumbers w:val="0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hyperlink" Target="http://01.01.2020" TargetMode="External"/><Relationship Id="rId11" Type="http://schemas.openxmlformats.org/officeDocument/2006/relationships/hyperlink" Target="http://&#1053;.&#1053;.&#1063;&#1077;&#1088;&#1085;&#1099;&#1096;&#1086;&#1074;&#1072;" TargetMode="External"/><Relationship Id="rId12" Type="http://schemas.openxmlformats.org/officeDocument/2006/relationships/hyperlink" Target="http://24.09.2020" TargetMode="External"/><Relationship Id="rId13" Type="http://schemas.openxmlformats.org/officeDocument/2006/relationships/hyperlink" Target="http://29.01.2020" TargetMode="External"/><Relationship Id="rId14" Type="http://schemas.openxmlformats.org/officeDocument/2006/relationships/hyperlink" Target="http://29.01.2020" TargetMode="External"/><Relationship Id="rId15" Type="http://schemas.openxmlformats.org/officeDocument/2006/relationships/hyperlink" Target="http://29.01.2020" TargetMode="External"/><Relationship Id="rId16" Type="http://schemas.openxmlformats.org/officeDocument/2006/relationships/hyperlink" Target="http://29.01.2020" TargetMode="External"/><Relationship Id="rId17" Type="http://schemas.openxmlformats.org/officeDocument/2006/relationships/hyperlink" Target="http://29.01.2020" TargetMode="External"/><Relationship Id="rId18" Type="http://schemas.openxmlformats.org/officeDocument/2006/relationships/hyperlink" Target="http://29.01.2020" TargetMode="External"/><Relationship Id="rId19" Type="http://schemas.openxmlformats.org/officeDocument/2006/relationships/hyperlink" Target="http://29.01.2020" TargetMode="External"/><Relationship Id="rId20" Type="http://schemas.openxmlformats.org/officeDocument/2006/relationships/hyperlink" Target="http://29.01.2020" TargetMode="External"/><Relationship Id="rId21" Type="http://schemas.openxmlformats.org/officeDocument/2006/relationships/hyperlink" Target="http://10.11.2020" TargetMode="External"/><Relationship Id="rId22" Type="http://schemas.openxmlformats.org/officeDocument/2006/relationships/hyperlink" Target="http://20.07.2020" TargetMode="External"/><Relationship Id="rId23" Type="http://schemas.openxmlformats.org/officeDocument/2006/relationships/hyperlink" Target="http://31.09.2020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Р7-Офис/6.2.2.20</Application>
  <DocSecurity>0</DocSecurity>
  <HyperlinksChanged>false</HyperlinksChanged>
  <LinksUpToDate>false</LinksUpToDate>
  <ScaleCrop>false</ScaleCrop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28</cp:revision>
  <dcterms:modified xsi:type="dcterms:W3CDTF">2021-07-09T13:03:24Z</dcterms:modified>
</cp:coreProperties>
</file>