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4"/>
        <w:jc w:val="center"/>
        <w:rPr>
          <w:b/>
          <w:color w:val="000000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АКТ</w:t>
      </w:r>
      <w:r>
        <w:rPr>
          <w:color w:val="000000" w:themeColor="text1"/>
        </w:rPr>
      </w:r>
      <w:r/>
    </w:p>
    <w:p>
      <w:pPr>
        <w:pStyle w:val="644"/>
        <w:jc w:val="center"/>
        <w:rPr>
          <w:b/>
          <w:color w:val="000000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На основании приказа департамента информационной политики, анализа и развития коммуникационных ресурсов Костромской области №  </w:t>
      </w:r>
      <w:r>
        <w:rPr>
          <w:color w:val="000000" w:themeColor="text1"/>
        </w:rPr>
        <w:t xml:space="preserve">27</w:t>
      </w:r>
      <w:r>
        <w:rPr>
          <w:color w:val="000000" w:themeColor="text1"/>
        </w:rPr>
        <w:t xml:space="preserve"> от </w:t>
      </w:r>
      <w:r>
        <w:rPr>
          <w:color w:val="000000" w:themeColor="text1"/>
        </w:rPr>
        <w:t xml:space="preserve">01 февраля 2021</w:t>
      </w:r>
      <w:r>
        <w:rPr>
          <w:color w:val="000000" w:themeColor="text1"/>
        </w:rPr>
        <w:t xml:space="preserve"> го</w:t>
      </w:r>
      <w:r>
        <w:rPr>
          <w:color w:val="000000" w:themeColor="text1"/>
        </w:rPr>
        <w:t xml:space="preserve">да  заведующим сектором экономики и финансов- главным бухгалтером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прядухиной Н.Н.,  консультантом сектора экономики и  финансов Колчан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вой С.В. проведена  выборочная  проверка ведения бухгалтерского учета и целевого использов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ния средств из областного бюджета, а также поступление и расходование средств,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лученных от предпринимательской и иной приносящей доход деятельности за  период с 01.01.2020</w:t>
      </w:r>
      <w:r>
        <w:rPr>
          <w:color w:val="000000" w:themeColor="text1"/>
        </w:rPr>
        <w:t xml:space="preserve"> г. по 31.12.2020</w:t>
      </w:r>
      <w:r>
        <w:rPr>
          <w:color w:val="000000" w:themeColor="text1"/>
        </w:rPr>
        <w:t xml:space="preserve"> г. ОГБУ «Редакция газеты «Вохомская правда</w:t>
      </w:r>
      <w:r>
        <w:rPr>
          <w:color w:val="000000" w:themeColor="text1"/>
        </w:rPr>
        <w:t xml:space="preserve">». Проверка проводилась в департаменте информац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онной политики, анализа и развития коммуникационных ресурсов Костромской области по адресу: г. Кострома, ул. Советская, д. 52 по представленным документам с разрешения редактора ОГБУ «Редакция газеты «Вохомская правда</w:t>
      </w:r>
      <w:r>
        <w:rPr>
          <w:color w:val="000000" w:themeColor="text1"/>
        </w:rPr>
        <w:t xml:space="preserve">» </w:t>
      </w:r>
      <w:r>
        <w:rPr>
          <w:color w:val="000000" w:themeColor="text1"/>
        </w:rPr>
        <w:t xml:space="preserve">Селезн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вой Е.В.</w:t>
      </w:r>
      <w:r>
        <w:rPr>
          <w:color w:val="000000" w:themeColor="text1"/>
        </w:rPr>
      </w:r>
      <w:r/>
    </w:p>
    <w:p>
      <w:pPr>
        <w:pStyle w:val="644"/>
        <w:ind w:firstLine="540"/>
        <w:jc w:val="right"/>
        <w:rPr>
          <w:color w:val="000000"/>
        </w:rPr>
      </w:pPr>
      <w:r>
        <w:rPr>
          <w:color w:val="000000" w:themeColor="text1"/>
        </w:rPr>
        <w:t xml:space="preserve">Проверка начата 01 марта</w:t>
      </w:r>
      <w:r>
        <w:rPr>
          <w:color w:val="000000" w:themeColor="text1"/>
        </w:rPr>
        <w:t xml:space="preserve"> 2021 года</w:t>
      </w:r>
      <w:r>
        <w:rPr>
          <w:color w:val="000000" w:themeColor="text1"/>
        </w:rPr>
      </w:r>
      <w:r/>
    </w:p>
    <w:p>
      <w:pPr>
        <w:pStyle w:val="644"/>
        <w:ind w:firstLine="540"/>
        <w:jc w:val="right"/>
        <w:rPr>
          <w:color w:val="000000"/>
        </w:rPr>
      </w:pPr>
      <w:r>
        <w:rPr>
          <w:color w:val="000000" w:themeColor="text1"/>
        </w:rPr>
        <w:t xml:space="preserve">Закончена  1</w:t>
      </w:r>
      <w:r>
        <w:rPr>
          <w:color w:val="000000" w:themeColor="text1"/>
        </w:rPr>
        <w:t xml:space="preserve">5 марта</w:t>
      </w:r>
      <w:r>
        <w:rPr>
          <w:color w:val="000000" w:themeColor="text1"/>
        </w:rPr>
        <w:t xml:space="preserve"> 2021 года</w:t>
      </w:r>
      <w:r>
        <w:rPr>
          <w:color w:val="000000" w:themeColor="text1"/>
        </w:rPr>
      </w:r>
      <w:r/>
    </w:p>
    <w:p>
      <w:pPr>
        <w:pStyle w:val="644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  <w:t xml:space="preserve">Сведения о проверяемой организации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Учредителем ОГБУ «Редакция газеты «Вохомс</w:t>
      </w:r>
      <w:r>
        <w:rPr>
          <w:color w:val="000000" w:themeColor="text1"/>
        </w:rPr>
        <w:t xml:space="preserve">кая правда» является департамент информационной политики, анализа и развития коммуникационных ресурсов Костромской области. За весь проверяемый период редактором газеты являлась Селезнева Елена Николаевна, главным бухгалтером являлась Гончарова Елена Мелет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евна.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ОГБУ «Редакция газеты «Вохомская правда» является юридическим лицом, имеет лицевые счета в департаменте финансов Костромской области по учету средств из о</w:t>
      </w:r>
      <w:r>
        <w:rPr>
          <w:color w:val="000000" w:themeColor="text1"/>
        </w:rPr>
        <w:t xml:space="preserve">бластного бюджета и по учету средств по доходам от предпринимательской и иной приносящей доход деятельности, печать со своим наименованием. Редакция финансируется за счет средств из областного бюджета в виде субсидии на выполнение государственного задания.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Юридический адрес: 157760, Костромская область, п. Вохма, ул. Советская, д. 41.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ИНН/КПП 4410000234/441001001.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ОГБУ «Редакция газеты «Вохомская правда» осуществляет свою деятельность на основании Устава ОГБУ «Редакция газеты «Вохомская правда».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Основными целями являются: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обеспечение конституционного права граждан на информацию путем оперативной публ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кации в газете сообщений и материалов, содержащих общественно – значимые сведения, затраг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вающие интересы населения; 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обеспечение конституционного права граждан на свободу мысли и слова путем организ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ции на страницах газеты открытого обсуждения общественно – значимых проблем жизни района и его жителей, работы органов государственной власти и местного самоуправления, различных а</w:t>
      </w:r>
      <w:r>
        <w:rPr>
          <w:color w:val="000000" w:themeColor="text1"/>
        </w:rPr>
        <w:t xml:space="preserve">с</w:t>
      </w:r>
      <w:r>
        <w:rPr>
          <w:color w:val="000000" w:themeColor="text1"/>
        </w:rPr>
        <w:t xml:space="preserve">пектов социально-экономической, общественно - политической и культурной жизни, а также др</w:t>
      </w:r>
      <w:r>
        <w:rPr>
          <w:color w:val="000000" w:themeColor="text1"/>
        </w:rPr>
        <w:t xml:space="preserve">у</w:t>
      </w:r>
      <w:r>
        <w:rPr>
          <w:color w:val="000000" w:themeColor="text1"/>
        </w:rPr>
        <w:t xml:space="preserve">гих вопросов, интересующих читателей газеты;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способствование становлению в обществе морально – этических отношений, основанных на демократических, правовых и гуманитарных началах.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Предметом деятельности редакции являются производство и выпуск периодического печа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ного издания – газеты «Вохомская правда</w:t>
      </w:r>
      <w:r>
        <w:rPr>
          <w:color w:val="000000" w:themeColor="text1"/>
        </w:rPr>
        <w:t xml:space="preserve">» в соответствии с примерной тематикой, заявленной учредит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лем газеты при ее регистрации как средства массовой информации указанной в свидетельстве о рег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страции средства массовой информации.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Для достижения целей Учреждение уполномочено осуществлять следующие виды деятел</w:t>
      </w:r>
      <w:r>
        <w:rPr>
          <w:color w:val="000000" w:themeColor="text1"/>
        </w:rPr>
        <w:t xml:space="preserve">ь</w:t>
      </w:r>
      <w:r>
        <w:rPr>
          <w:color w:val="000000" w:themeColor="text1"/>
        </w:rPr>
        <w:t xml:space="preserve">ности: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осуществлять издательство, производство и реализацию периодического печатного издания – газеты «</w:t>
      </w:r>
      <w:r>
        <w:rPr>
          <w:color w:val="000000" w:themeColor="text1"/>
        </w:rPr>
        <w:t xml:space="preserve">Вохомская правд</w:t>
      </w:r>
      <w:r>
        <w:rPr>
          <w:color w:val="000000" w:themeColor="text1"/>
        </w:rPr>
        <w:t xml:space="preserve">а» и приложений к ней; 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осуществление в соответствии с Законом РФ № 2124-1 от 2712.1991 «О средс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вах массовой информации» поиск и сбор информации, запрашивать и получает информацию о деятельности органов государственной власти и местного самоуправления, общественных объ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динений и их должностных лиц;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осуществляет создание, подготовку и редактирование информационных, литературно – публицистических и иных материалов для последующей публикации в газете «</w:t>
      </w:r>
      <w:r>
        <w:rPr>
          <w:color w:val="000000" w:themeColor="text1"/>
        </w:rPr>
        <w:t xml:space="preserve">Вохомская правда</w:t>
      </w:r>
      <w:r>
        <w:rPr>
          <w:color w:val="000000" w:themeColor="text1"/>
        </w:rPr>
        <w:t xml:space="preserve">»;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осуществляет в соответствии с Федеральным законом РФ № 38 от 13.03.2006 «О рекламе публикацию рекламы и объявлений в газете «</w:t>
      </w:r>
      <w:r>
        <w:rPr>
          <w:color w:val="000000" w:themeColor="text1"/>
        </w:rPr>
        <w:t xml:space="preserve">Вохомская правда</w:t>
      </w:r>
      <w:r>
        <w:rPr>
          <w:color w:val="000000" w:themeColor="text1"/>
        </w:rPr>
        <w:t xml:space="preserve">»;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осуществляет прочую рекламную и маркетинговую деятельность, проводит исследования конъюнктуры рынка и выявление общественного мнения;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-осуществляет деятельность в области фотографии;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проводит как самостоятельные, так и совместные исследования (опросы, изучение общес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венного мнения, журналистские расследования и т.д.) в различных сферах общественной, полит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ческой и экономической жизни;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организует семинары, выставки и другие мероприятия, способствующие достижению целей и реализации задач Учреждения;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ведет деятельность по созданию и использованию баз данных и информационных ресурсов;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на договорной основе оказывает информационные, консультационные и иные услуги гра</w:t>
      </w:r>
      <w:r>
        <w:rPr>
          <w:color w:val="000000" w:themeColor="text1"/>
        </w:rPr>
        <w:t xml:space="preserve">ж</w:t>
      </w:r>
      <w:r>
        <w:rPr>
          <w:color w:val="000000" w:themeColor="text1"/>
        </w:rPr>
        <w:t xml:space="preserve">данам и юридическим лицам в сфере массовой информации;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-осуществляет полиграфическую деятельность;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осуществляет создание, размещение и сопровождение сайта в информационно-телекоммуникационной сети Интернет;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осуществляет культурно-просветительскую деятельность, не противоречащую целям Учр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ждения;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-осуществляет копирование и распространение записанных носителей информации;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-осуществляет иную деятельность, не противоречащую целям Учреждения.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  <w:t xml:space="preserve">Проверка правильности составления сметы расходов </w:t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color w:val="000000"/>
        </w:rPr>
      </w:pPr>
      <w:r>
        <w:rPr>
          <w:b/>
          <w:color w:val="000000" w:themeColor="text1"/>
        </w:rPr>
        <w:t xml:space="preserve">по средствам областного бюджета, лимиты бюджетных обязательств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b/>
          <w:color w:val="000000"/>
        </w:rPr>
      </w:pPr>
      <w:r>
        <w:rPr>
          <w:color w:val="000000" w:themeColor="text1"/>
        </w:rPr>
        <w:t xml:space="preserve">Финансирование ОГБУ «Редакция газеты «</w:t>
      </w:r>
      <w:r>
        <w:rPr>
          <w:color w:val="000000" w:themeColor="text1"/>
        </w:rPr>
        <w:t xml:space="preserve">Вохомская правда</w:t>
      </w:r>
      <w:r>
        <w:rPr>
          <w:color w:val="000000" w:themeColor="text1"/>
        </w:rPr>
        <w:t xml:space="preserve">»  в  2020</w:t>
      </w:r>
      <w:r>
        <w:rPr>
          <w:color w:val="000000" w:themeColor="text1"/>
        </w:rPr>
        <w:t xml:space="preserve"> году осуществлялось на основ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нии плана финансово – хозяйственной деятельности, в форме субсидии на выполнение государс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ного задания, а также по предпринимательской деятельности.</w:t>
      </w:r>
      <w:r>
        <w:rPr>
          <w:color w:val="000000" w:themeColor="text1"/>
        </w:rPr>
      </w:r>
      <w:r/>
    </w:p>
    <w:tbl>
      <w:tblPr>
        <w:tblW w:w="0" w:type="auto"/>
        <w:tblInd w:w="-185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295"/>
        <w:gridCol w:w="1654"/>
        <w:gridCol w:w="1968"/>
        <w:gridCol w:w="1968"/>
        <w:gridCol w:w="2338"/>
      </w:tblGrid>
      <w:tr>
        <w:trPr>
          <w:cantSplit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644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Аналитика</w:t>
            </w:r>
            <w:r>
              <w:rPr>
                <w:color w:val="000000" w:themeColor="text1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622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Доходы</w:t>
            </w:r>
            <w:r>
              <w:rPr>
                <w:color w:val="000000" w:themeColor="text1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306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 xml:space="preserve">Расходы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cantSplit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continue"/>
            <w:textDirection w:val="lrTb"/>
            <w:noWrap w:val="false"/>
          </w:tcPr>
          <w:p>
            <w:pPr>
              <w:pStyle w:val="644"/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План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Кассовое </w:t>
            </w:r>
            <w:r>
              <w:rPr>
                <w:color w:val="000000" w:themeColor="text1"/>
              </w:rPr>
            </w:r>
            <w:r/>
          </w:p>
          <w:p>
            <w:pPr>
              <w:pStyle w:val="644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исполнение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План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Кассовое </w:t>
            </w:r>
            <w:r>
              <w:rPr>
                <w:color w:val="000000" w:themeColor="text1"/>
              </w:rPr>
            </w:r>
            <w:r/>
          </w:p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 xml:space="preserve">исполнение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23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 xml:space="preserve">ТС 100103 (Субсидия на выполнение государственного задания)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2 553 000,00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2 553 000,00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510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4 285,59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4 285,59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21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211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1 889 810,78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1 889 810,78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213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572 166,42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572 166,42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266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10 188,06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10 188,06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79 900,00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79 900,00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340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5 220,33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5 220,33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 w:themeColor="text1"/>
              </w:rPr>
              <w:t xml:space="preserve">Итого по ТС 100103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 w:themeColor="text1"/>
              </w:rPr>
              <w:t xml:space="preserve">2 557 285,59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b/>
                <w:bCs/>
                <w:color w:val="000000" w:themeColor="text1"/>
              </w:rPr>
              <w:t xml:space="preserve">2 557 285,59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b/>
                <w:bCs/>
                <w:color w:val="000000" w:themeColor="text1"/>
              </w:rPr>
              <w:t xml:space="preserve">2 557 285,59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b/>
                <w:bCs/>
                <w:color w:val="000000" w:themeColor="text1"/>
              </w:rPr>
              <w:t xml:space="preserve">2 557 285,59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23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 xml:space="preserve">ТС 100203 (Предпринимательская деятельность)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960 251,08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1 079 170,65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150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10 000,00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10 000,00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vMerge w:val="restart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180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-10 251,08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440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650 000,00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621 015,10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510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308 059,47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211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607 714,40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400 922,50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212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1 604,51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1 600,00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213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183 999,05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121 288,82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73 010,35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73 006,31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222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72 761,45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42 751,96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75 304,37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75 288,12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224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106 394,56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106 390,62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29 829,05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29 743,90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566 291,82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566 215,8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227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vMerge w:val="restart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6 824,08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6 823,67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290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16 573,68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5 797,08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310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2,68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0,00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343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44 163,58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41 076,83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346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163 836,97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162 358,00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 w:themeColor="text1"/>
              </w:rPr>
              <w:t xml:space="preserve">Итого по ТС 100203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1 928 310,55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1 720 436,83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1 928 310,55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1 643 263,61</w:t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644"/>
        <w:ind w:firstLine="709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spacing w:lineRule="auto" w:line="276"/>
        <w:shd w:val="clear" w:fill="FFFFFF" w:color="FFFFFF"/>
        <w:rPr>
          <w:b/>
          <w:color w:val="000000"/>
        </w:rPr>
      </w:pPr>
      <w:r>
        <w:rPr>
          <w:b/>
          <w:color w:val="000000" w:themeColor="text1"/>
        </w:rPr>
        <w:t xml:space="preserve">Учетная политика Учреждения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shd w:val="clear" w:fill="FFFFFF" w:color="FFFFFF"/>
        <w:rPr>
          <w:color w:val="000000"/>
        </w:rPr>
      </w:pPr>
      <w:r>
        <w:rPr>
          <w:color w:val="000000" w:themeColor="text1"/>
        </w:rPr>
        <w:t xml:space="preserve">В нарушение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"consultantplus://offline/ref=E8D0AD034381026843D6BD3486D91B1300329E33C5DCE279F6B3F29B927489AD5202F1A97C40F1EE5720CBA635D2B706D06443D2365E2A11ODX7M"</w:instrText>
      </w:r>
      <w:r>
        <w:rPr>
          <w:color w:val="000000" w:themeColor="text1"/>
        </w:rPr>
        <w:fldChar w:fldCharType="separate"/>
      </w:r>
      <w:r>
        <w:rPr>
          <w:rStyle w:val="708"/>
          <w:color w:val="000000" w:themeColor="text1"/>
        </w:rPr>
        <w:t xml:space="preserve">пунктов 6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302.1 Инструкции по применению Единого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"consultantplus://offline/ref=58270717226EDAB794BC36B28A3E69392382DDB826C230B63EDA1A3E60158058FED344D367DCEF01F53EF20BBDD878F3304515B824D4F8F0z0YDM"</w:instrText>
      </w:r>
      <w:r>
        <w:rPr>
          <w:color w:val="000000" w:themeColor="text1"/>
        </w:rPr>
        <w:fldChar w:fldCharType="separate"/>
      </w:r>
      <w:r>
        <w:rPr>
          <w:rStyle w:val="708"/>
          <w:color w:val="000000" w:themeColor="text1"/>
        </w:rPr>
        <w:t xml:space="preserve">плана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счетов бухгалте</w:t>
      </w:r>
      <w:r>
        <w:rPr>
          <w:color w:val="000000" w:themeColor="text1"/>
        </w:rPr>
        <w:t xml:space="preserve">р</w:t>
      </w:r>
      <w:r>
        <w:rPr>
          <w:color w:val="000000" w:themeColor="text1"/>
        </w:rPr>
        <w:t xml:space="preserve">ского учёта для органов государственной власти (государственных органов), органов местного с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моуправления, органов управления государственными внебюджетными фондами, государстве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ных академий наук, государственных (муниципальных) учреждений, утверждённой приказом Минфина России от 01.12.2010 года №157н  (далее по тексту – Инструкция №157н) актами «У</w:t>
      </w:r>
      <w:r>
        <w:rPr>
          <w:color w:val="000000" w:themeColor="text1"/>
        </w:rPr>
        <w:t xml:space="preserve">ч</w:t>
      </w:r>
      <w:r>
        <w:rPr>
          <w:color w:val="000000" w:themeColor="text1"/>
        </w:rPr>
        <w:t xml:space="preserve">реждения</w:t>
      </w:r>
      <w:r>
        <w:rPr>
          <w:i/>
          <w:color w:val="000000" w:themeColor="text1"/>
        </w:rPr>
        <w:t xml:space="preserve">» </w:t>
      </w:r>
      <w:r>
        <w:rPr>
          <w:color w:val="000000" w:themeColor="text1"/>
        </w:rPr>
        <w:t xml:space="preserve">не утверждены</w:t>
      </w:r>
      <w:r>
        <w:rPr>
          <w:color w:val="000000" w:themeColor="text1"/>
        </w:rPr>
        <w:t xml:space="preserve"> в Приказе редакции от </w:t>
      </w:r>
      <w:r>
        <w:rPr>
          <w:color w:val="000000" w:themeColor="text1"/>
        </w:rPr>
        <w:t xml:space="preserve">30.12.2011 № 97</w:t>
      </w:r>
      <w:r>
        <w:rPr>
          <w:color w:val="000000" w:themeColor="text1"/>
        </w:rPr>
        <w:t xml:space="preserve"> «Об утверждении учетной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литики»</w:t>
      </w:r>
      <w:r>
        <w:rPr>
          <w:color w:val="000000" w:themeColor="text1"/>
        </w:rPr>
        <w:t xml:space="preserve"> и дополнений к учетной политике</w:t>
      </w:r>
      <w:r>
        <w:rPr>
          <w:color w:val="000000" w:themeColor="text1"/>
        </w:rPr>
        <w:t xml:space="preserve">, внесенных приказом учреждения от 18.06.2012 № 27</w:t>
      </w:r>
      <w:r>
        <w:rPr>
          <w:color w:val="000000" w:themeColor="text1"/>
        </w:rPr>
        <w:t xml:space="preserve">: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shd w:val="clear" w:fill="FFFFFF" w:color="FFFFFF"/>
        <w:rPr>
          <w:color w:val="000000"/>
        </w:rPr>
      </w:pPr>
      <w:r>
        <w:rPr>
          <w:color w:val="000000" w:themeColor="text1"/>
        </w:rPr>
        <w:t xml:space="preserve">- порядок проведения инвентаризации обязательств, материальных запасов, имущества, уч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тываемого на забалансовых счетах;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shd w:val="clear" w:fill="FFFFFF" w:color="FFFFFF"/>
        <w:rPr>
          <w:iCs/>
          <w:color w:val="000000"/>
        </w:rPr>
      </w:pPr>
      <w:r>
        <w:rPr>
          <w:color w:val="000000" w:themeColor="text1"/>
        </w:rPr>
        <w:t xml:space="preserve">- методы оценки отдельных видов имущества (имущество на забалансовых счетах);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shd w:val="clear" w:fill="FFFFFF" w:color="FFFFFF"/>
        <w:rPr>
          <w:color w:val="000000"/>
        </w:rPr>
      </w:pPr>
      <w:r>
        <w:rPr>
          <w:iCs/>
          <w:color w:val="000000" w:themeColor="text1"/>
        </w:rPr>
        <w:t xml:space="preserve">- порядок формирования резерва предстоящей оплаты отпусков за фактически отработанное время или компенсаций за неиспользованный отпуск, в том числе при увольнении, включая пл</w:t>
      </w:r>
      <w:r>
        <w:rPr>
          <w:iCs/>
          <w:color w:val="000000" w:themeColor="text1"/>
        </w:rPr>
        <w:t xml:space="preserve">а</w:t>
      </w:r>
      <w:r>
        <w:rPr>
          <w:iCs/>
          <w:color w:val="000000" w:themeColor="text1"/>
        </w:rPr>
        <w:t xml:space="preserve">тежи на обязательное социальное страхование сотрудника (служащего) учреждения.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shd w:val="clear" w:fill="FFFFFF" w:color="FFFFFF"/>
        <w:rPr>
          <w:b/>
          <w:i/>
          <w:color w:val="000000"/>
        </w:rPr>
      </w:pPr>
      <w:r>
        <w:rPr>
          <w:color w:val="000000" w:themeColor="text1"/>
        </w:rPr>
        <w:t xml:space="preserve">Следует отметить, что в связи с  принятием с 01.01.2018 года федеральных стандартов бу</w:t>
      </w:r>
      <w:r>
        <w:rPr>
          <w:color w:val="000000" w:themeColor="text1"/>
        </w:rPr>
        <w:t xml:space="preserve">х</w:t>
      </w:r>
      <w:r>
        <w:rPr>
          <w:color w:val="000000" w:themeColor="text1"/>
        </w:rPr>
        <w:t xml:space="preserve">галтерского учёта учреждениям при отражении операций финансово-хозяйственной деятельности необходимо внести изменения в учётную политику, определяющие правила и особенности учёта в соответствии с новыми требованиями.</w:t>
      </w:r>
      <w:r>
        <w:rPr>
          <w:color w:val="000000" w:themeColor="text1"/>
        </w:rPr>
      </w:r>
      <w:r/>
    </w:p>
    <w:p>
      <w:pPr>
        <w:pStyle w:val="644"/>
        <w:ind w:firstLine="708"/>
        <w:jc w:val="both"/>
        <w:rPr>
          <w:color w:val="000000"/>
        </w:rPr>
      </w:pPr>
      <w:r>
        <w:rPr>
          <w:b/>
          <w:i/>
          <w:color w:val="000000" w:themeColor="text1"/>
        </w:rPr>
        <w:t xml:space="preserve">Рекомендуем внести соответствующие изменения.</w:t>
      </w:r>
      <w:r>
        <w:rPr>
          <w:color w:val="000000" w:themeColor="text1"/>
        </w:rPr>
      </w:r>
      <w:r/>
    </w:p>
    <w:p>
      <w:pPr>
        <w:pStyle w:val="644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jc w:val="center"/>
        <w:rPr>
          <w:color w:val="000000"/>
        </w:rPr>
      </w:pPr>
      <w:r>
        <w:rPr>
          <w:b/>
          <w:color w:val="000000" w:themeColor="text1"/>
        </w:rPr>
        <w:t xml:space="preserve">Проверка правильности ведения кассовых операций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Учет кассовых операций регламентируется: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Федеральным законом  от 06.12.2011 № 402- ФЗ «О бухгалтерском учете»;</w:t>
      </w:r>
      <w:r>
        <w:rPr>
          <w:color w:val="000000" w:themeColor="text1"/>
        </w:rPr>
      </w:r>
      <w:r/>
    </w:p>
    <w:p>
      <w:pPr>
        <w:pStyle w:val="644"/>
        <w:numPr>
          <w:ilvl w:val="0"/>
          <w:numId w:val="1"/>
        </w:numPr>
        <w:ind w:left="0" w:firstLine="540"/>
        <w:jc w:val="both"/>
        <w:rPr>
          <w:color w:val="000000"/>
        </w:rPr>
      </w:pPr>
      <w:r>
        <w:rPr>
          <w:color w:val="000000" w:themeColor="text1"/>
        </w:rPr>
        <w:t xml:space="preserve">«Порядком ведения кассовых операций в Российской Федерации», утвержденным решением Совета Директоров Центрального Банка России от 22.09.1993 г. № 40;</w:t>
      </w:r>
      <w:r>
        <w:rPr>
          <w:color w:val="000000" w:themeColor="text1"/>
        </w:rPr>
      </w:r>
      <w:r/>
    </w:p>
    <w:p>
      <w:pPr>
        <w:pStyle w:val="644"/>
        <w:numPr>
          <w:ilvl w:val="0"/>
          <w:numId w:val="1"/>
        </w:numPr>
        <w:jc w:val="both"/>
        <w:rPr>
          <w:color w:val="000000"/>
        </w:rPr>
      </w:pPr>
      <w:r>
        <w:rPr>
          <w:color w:val="000000" w:themeColor="text1"/>
        </w:rPr>
        <w:t xml:space="preserve">Положением о порядке ведения кассовых операций с банкнотами и монетой Банка России на территории РФ от 12.10.11 № 373-П.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Проверка кассовых операций проведена за период с 01.01.2020</w:t>
      </w:r>
      <w:r>
        <w:rPr>
          <w:color w:val="000000" w:themeColor="text1"/>
        </w:rPr>
        <w:t xml:space="preserve"> по 31.12.2020</w:t>
      </w:r>
      <w:r>
        <w:rPr>
          <w:color w:val="000000" w:themeColor="text1"/>
        </w:rPr>
        <w:t xml:space="preserve"> г. Проверены: кассовая книга, приходные и расходные кассовые ордера с приложенными к ним оправдательны</w:t>
      </w:r>
      <w:r>
        <w:rPr>
          <w:color w:val="000000" w:themeColor="text1"/>
        </w:rPr>
        <w:t xml:space="preserve">ми документами, платежные ведомости, журнал – операций  №  1 по счету «Касса». Для обобщения информации о наличии и движении денежных средств в учреждении ведется счет 201.04 «Касса», кассовые операции отражаются в журнале – операций № 1 по счету «Касса». 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Лимит кассы утвержден приказом №</w:t>
      </w:r>
      <w:r>
        <w:rPr>
          <w:color w:val="000000" w:themeColor="text1"/>
        </w:rPr>
        <w:t xml:space="preserve"> 1 от 09.01.2020</w:t>
      </w:r>
      <w:r>
        <w:rPr>
          <w:color w:val="000000" w:themeColor="text1"/>
        </w:rPr>
        <w:t xml:space="preserve">г., установлен в сум</w:t>
      </w:r>
      <w:r>
        <w:rPr>
          <w:color w:val="000000" w:themeColor="text1"/>
        </w:rPr>
        <w:t xml:space="preserve">ме </w:t>
      </w:r>
      <w:r>
        <w:rPr>
          <w:color w:val="000000" w:themeColor="text1"/>
        </w:rPr>
        <w:t xml:space="preserve">8 546</w:t>
      </w:r>
      <w:r>
        <w:rPr>
          <w:color w:val="000000" w:themeColor="text1"/>
        </w:rPr>
        <w:t xml:space="preserve">,00 (восемь тысяч пятьсот сорок шесть</w:t>
      </w:r>
      <w:r>
        <w:rPr>
          <w:color w:val="000000" w:themeColor="text1"/>
        </w:rPr>
        <w:t xml:space="preserve">) рубл</w:t>
      </w:r>
      <w:r>
        <w:rPr>
          <w:color w:val="000000" w:themeColor="text1"/>
        </w:rPr>
        <w:t xml:space="preserve">ей</w:t>
      </w:r>
      <w:r>
        <w:rPr>
          <w:color w:val="000000" w:themeColor="text1"/>
        </w:rPr>
        <w:t xml:space="preserve"> и в течение проверяемого периода не наруш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л</w:t>
      </w:r>
      <w:r>
        <w:rPr>
          <w:color w:val="000000" w:themeColor="text1"/>
        </w:rPr>
        <w:t xml:space="preserve">ся. 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В ходе пров</w:t>
      </w:r>
      <w:r>
        <w:rPr>
          <w:color w:val="000000" w:themeColor="text1"/>
        </w:rPr>
        <w:t xml:space="preserve">ерки установлены нарушения ст.9 Федерального Закона от 06.12.2011 № 402-ФЗ « О бухгалтерском учете» при оприходовании наличных денежных средств в кассу от физического лица в приходных кассовых ордерах в графе «Принято от» должно указываться Ф.И.О. физическ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го лица, от которого приняты денежные средства. На протяжении всего проверяемого периода в ОГБУ «Редакция газеты «</w:t>
      </w:r>
      <w:r>
        <w:rPr>
          <w:color w:val="000000" w:themeColor="text1"/>
        </w:rPr>
        <w:t xml:space="preserve">Вохомская правда</w:t>
      </w:r>
      <w:r>
        <w:rPr>
          <w:color w:val="000000" w:themeColor="text1"/>
        </w:rPr>
        <w:t xml:space="preserve">» в вышеуказанной графе заполнено «население», напр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мер: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-ПКО № 134 от 02.07.2020</w:t>
      </w:r>
      <w:r>
        <w:rPr>
          <w:color w:val="000000" w:themeColor="text1"/>
        </w:rPr>
        <w:t xml:space="preserve"> на сумму 2262</w:t>
      </w:r>
      <w:r>
        <w:rPr>
          <w:color w:val="000000" w:themeColor="text1"/>
        </w:rPr>
        <w:t xml:space="preserve"> руб. (Д-т 20</w:t>
      </w:r>
      <w:r>
        <w:rPr>
          <w:color w:val="000000" w:themeColor="text1"/>
        </w:rPr>
        <w:t xml:space="preserve">1.34</w:t>
      </w:r>
      <w:r>
        <w:rPr>
          <w:color w:val="000000" w:themeColor="text1"/>
        </w:rPr>
        <w:t xml:space="preserve"> К-т 205.31);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-ПКО № </w:t>
      </w:r>
      <w:r>
        <w:rPr>
          <w:color w:val="000000" w:themeColor="text1"/>
        </w:rPr>
        <w:t xml:space="preserve">142 от 10.07.2020</w:t>
      </w:r>
      <w:r>
        <w:rPr>
          <w:color w:val="000000" w:themeColor="text1"/>
        </w:rPr>
        <w:t xml:space="preserve"> на сумму </w:t>
      </w:r>
      <w:r>
        <w:rPr>
          <w:color w:val="000000" w:themeColor="text1"/>
        </w:rPr>
        <w:t xml:space="preserve">1184</w:t>
      </w:r>
      <w:r>
        <w:rPr>
          <w:color w:val="000000" w:themeColor="text1"/>
        </w:rPr>
        <w:t xml:space="preserve"> руб. (Д-т 201.34 К-т 205.31);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-ПКО № 161 от 31.07.2020 на сумму 1749 руб. (Д-т 201.34 К-т 205.31);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-ПКО № 294 от 14.12.2020 на сумму 2175 руб. (Д-т 201.34 К-т 205.31);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-ПКО № 297 от 17.12.2020 на сумму 1380 руб. (Д-т 201.34 К-т 205.31);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-ПКО № 312 от 29.12.2020 на сумму 2385 руб. (Д-т 201.34 К-т 205.31);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Данное нарушение документального оформления первичных кассовых документов не обе</w:t>
      </w:r>
      <w:r>
        <w:rPr>
          <w:color w:val="000000" w:themeColor="text1"/>
        </w:rPr>
        <w:t xml:space="preserve">с</w:t>
      </w:r>
      <w:r>
        <w:rPr>
          <w:color w:val="000000" w:themeColor="text1"/>
        </w:rPr>
        <w:t xml:space="preserve">печивает прозрачность бухгалтерского учета в части учета доходов учреждения.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 </w:t>
      </w:r>
      <w:r>
        <w:rPr>
          <w:b/>
          <w:i/>
          <w:color w:val="000000" w:themeColor="text1"/>
        </w:rPr>
        <w:t xml:space="preserve">Рекомендуем обеспечить прием наличных денежных средств от физических лиц в с</w:t>
      </w:r>
      <w:r>
        <w:rPr>
          <w:b/>
          <w:i/>
          <w:color w:val="000000" w:themeColor="text1"/>
        </w:rPr>
        <w:t xml:space="preserve">о</w:t>
      </w:r>
      <w:r>
        <w:rPr>
          <w:b/>
          <w:i/>
          <w:color w:val="000000" w:themeColor="text1"/>
        </w:rPr>
        <w:t xml:space="preserve">ответствии со ст.9 Федерального Закона от 06.12.2011 № 402-ФЗ.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color w:val="000000"/>
        </w:rPr>
      </w:pPr>
      <w:r>
        <w:rPr>
          <w:b/>
          <w:color w:val="000000" w:themeColor="text1"/>
        </w:rPr>
        <w:t xml:space="preserve">Проверка операций движения денежных средств по лицевым счетам</w:t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Проверка проведена  за период с 01.01.2020</w:t>
      </w:r>
      <w:r>
        <w:rPr>
          <w:color w:val="000000" w:themeColor="text1"/>
        </w:rPr>
        <w:t xml:space="preserve"> по 31.12.2020</w:t>
      </w:r>
      <w:r>
        <w:rPr>
          <w:color w:val="000000" w:themeColor="text1"/>
        </w:rPr>
        <w:t xml:space="preserve"> года по представленным документам: выпискам  управления казначейства департамента финансов Костромской области по лицевым счетам с приложением денежно-расчетных документов, журналам – операций.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b/>
          <w:color w:val="000000"/>
        </w:rPr>
      </w:pPr>
      <w:r>
        <w:rPr>
          <w:color w:val="000000" w:themeColor="text1"/>
        </w:rPr>
        <w:t xml:space="preserve">Для осуществления безналичных расчетов и кассового обслуживания учреждения были о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крыты  счета:</w:t>
      </w:r>
      <w:r>
        <w:rPr>
          <w:color w:val="000000" w:themeColor="text1"/>
        </w:rPr>
      </w:r>
      <w:r/>
    </w:p>
    <w:tbl>
      <w:tblPr>
        <w:tblW w:w="0" w:type="auto"/>
        <w:tblInd w:w="-40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01"/>
        <w:gridCol w:w="5607"/>
        <w:gridCol w:w="2421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01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№ п/п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b/>
                <w:color w:val="000000"/>
              </w:rPr>
            </w:pPr>
            <w:r>
              <w:rPr>
                <w:b/>
                <w:color w:val="000000" w:themeColor="text1"/>
              </w:rPr>
              <w:t xml:space="preserve">Наименование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421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 xml:space="preserve">№ лицевого счета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01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644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 xml:space="preserve">Департамент финансов Костромской области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421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827030</w:t>
            </w:r>
            <w:r>
              <w:rPr>
                <w:color w:val="000000" w:themeColor="text1"/>
              </w:rPr>
              <w:t xml:space="preserve">17</w:t>
            </w:r>
            <w:r>
              <w:rPr>
                <w:color w:val="000000" w:themeColor="text1"/>
              </w:rPr>
              <w:t xml:space="preserve">4</w:t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644"/>
        <w:ind w:firstLine="540"/>
        <w:jc w:val="both"/>
        <w:rPr>
          <w:color w:val="000000"/>
        </w:rPr>
      </w:pPr>
      <w:r>
        <w:rPr>
          <w:b/>
          <w:i/>
          <w:color w:val="000000" w:themeColor="text1"/>
        </w:rPr>
        <w:t xml:space="preserve">На данном участке учёта нарушений не  выявлено.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color w:val="000000"/>
        </w:rPr>
      </w:pPr>
      <w:r>
        <w:rPr>
          <w:b/>
          <w:color w:val="000000" w:themeColor="text1"/>
        </w:rPr>
        <w:t xml:space="preserve">Проверка учета расчетов с подотчетными лицами</w:t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Расчеты с подотчетными лицами  отражаются в журнале – операций № 3 «Расчеты с подо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четными лицами».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Проверка расчетов с подотчетными лицами проведена за период с 01.01.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 по 31.12.</w:t>
      </w:r>
      <w:r>
        <w:rPr>
          <w:color w:val="000000" w:themeColor="text1"/>
        </w:rPr>
        <w:t xml:space="preserve">2020</w:t>
      </w:r>
      <w:r>
        <w:rPr>
          <w:color w:val="000000" w:themeColor="text1"/>
        </w:rPr>
        <w:t xml:space="preserve"> г.   Проверены авансовые отчеты с приложенными к ним оправдательными документами. 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В ходе проверки выявлены </w:t>
      </w:r>
      <w:r>
        <w:rPr>
          <w:color w:val="000000" w:themeColor="text1"/>
        </w:rPr>
        <w:t xml:space="preserve">факты отсутствия приказов при направлении сотрудников учреждения в командиро</w:t>
      </w:r>
      <w:r>
        <w:rPr>
          <w:color w:val="000000" w:themeColor="text1"/>
        </w:rPr>
        <w:t xml:space="preserve">в</w:t>
      </w:r>
      <w:r>
        <w:rPr>
          <w:color w:val="000000" w:themeColor="text1"/>
        </w:rPr>
        <w:t xml:space="preserve">ку,</w:t>
      </w:r>
      <w:r>
        <w:rPr>
          <w:color w:val="000000" w:themeColor="text1"/>
        </w:rPr>
        <w:t xml:space="preserve"> например: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авансовый отчет № 68 от 26.11.2020 Огарков С.Ю. на сумму 4999,62 руб.(чеки на приобретение ГСМ приложены от 24 и 25.11.2020);</w:t>
      </w:r>
      <w:r>
        <w:rPr>
          <w:color w:val="000000" w:themeColor="text1"/>
        </w:rPr>
      </w:r>
      <w:r/>
    </w:p>
    <w:p>
      <w:pPr>
        <w:pStyle w:val="725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Согласно ст. 166 ТК РФ и абз.2 п.3 Положе</w:t>
      </w:r>
      <w:r>
        <w:rPr>
          <w:color w:val="000000" w:themeColor="text1"/>
        </w:rPr>
        <w:t xml:space="preserve">ния о служебных командировках для того, чтобы направить работника в служебную командировку, необходимо распоряжение работодателя в письменной форме (например, приказ о направлении работника в командировку). При этом необходимо использовать унифицированную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"consultantplus://offline/ref=261B76A31C1EACB0D8EBF7962CC068826D93482417E7A127E0857C09326B4C0058B3091066B52Ai8rBL"</w:instrText>
      </w:r>
      <w:r>
        <w:rPr>
          <w:color w:val="000000" w:themeColor="text1"/>
        </w:rPr>
        <w:fldChar w:fldCharType="separate"/>
      </w:r>
      <w:r>
        <w:rPr>
          <w:rStyle w:val="708"/>
          <w:color w:val="000000" w:themeColor="text1"/>
        </w:rPr>
        <w:t xml:space="preserve">форму N Т-9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утвержденную Постановлением Госкомстата России от 05.01.2004 № 1, или документ, самостоятельно разработанный работодателем. Согласно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"consultantplus://offline/ref=477329E28082A467C56AB895541CCCF1C1EAFC912346F2268FF7D7B3F8D25C50D5FD1EC244975509m0wDL"</w:instrText>
      </w:r>
      <w:r>
        <w:rPr>
          <w:color w:val="000000" w:themeColor="text1"/>
        </w:rPr>
        <w:fldChar w:fldCharType="separate"/>
      </w:r>
      <w:r>
        <w:rPr>
          <w:rStyle w:val="708"/>
          <w:color w:val="000000" w:themeColor="text1"/>
        </w:rPr>
        <w:t xml:space="preserve">абз. 3 п. 11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"consultantplus://offline/ref=477329E28082A467C56AB895541CCCF1C1EAFC912346F2268FF7D7B3F8D25C50D5FD1EC24497550Cm0wEL"</w:instrText>
      </w:r>
      <w:r>
        <w:rPr>
          <w:color w:val="000000" w:themeColor="text1"/>
        </w:rPr>
        <w:fldChar w:fldCharType="separate"/>
      </w:r>
      <w:r>
        <w:rPr>
          <w:rStyle w:val="708"/>
          <w:color w:val="000000" w:themeColor="text1"/>
        </w:rPr>
        <w:t xml:space="preserve">п. 25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Положения о служебных командировках,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"consultantplus://offline/ref=477329E28082A467C56AA5814674F6F79EEFFE942942FE73D8F586E6F6D754009DED50874996550A0F5BmAw8L"</w:instrText>
      </w:r>
      <w:r>
        <w:rPr>
          <w:color w:val="000000" w:themeColor="text1"/>
        </w:rPr>
        <w:fldChar w:fldCharType="separate"/>
      </w:r>
      <w:r>
        <w:rPr>
          <w:rStyle w:val="708"/>
          <w:color w:val="000000" w:themeColor="text1"/>
        </w:rPr>
        <w:t xml:space="preserve">письмо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Минтруда России от 05.09.2013 N 14-2/3044898-4415 работодатель обязан выплатить работнику суточные за каждый день пребывания в командировке, включ</w:t>
      </w:r>
      <w:r>
        <w:rPr>
          <w:color w:val="000000" w:themeColor="text1"/>
        </w:rPr>
        <w:t xml:space="preserve">ая выходные и нерабочие праздничные дни, а также дни, проведенные в пути, в том числе время вынужденной остановки, а также за период нетрудоспособности, наступившей в командировке. Для расчета суточных необходимо определить продолжительность командировки. </w:t>
      </w:r>
      <w:r>
        <w:rPr>
          <w:color w:val="000000" w:themeColor="text1"/>
        </w:rPr>
      </w:r>
      <w:r/>
    </w:p>
    <w:p>
      <w:pPr>
        <w:pStyle w:val="725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Размер суточных может быть любым, но должен быть определен в коллективном договоре или</w:t>
      </w:r>
      <w:r>
        <w:rPr>
          <w:color w:val="000000" w:themeColor="text1"/>
        </w:rPr>
        <w:t xml:space="preserve"> локальном нормативном акте, если иное не установлено Трудовым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"consultantplus://offline/ref=B80F892614C6FAF3950980FE2A1D7E1D1CE75CB2B03CFE4EED24779507O30EL"</w:instrText>
      </w:r>
      <w:r>
        <w:rPr>
          <w:color w:val="000000" w:themeColor="text1"/>
        </w:rPr>
        <w:fldChar w:fldCharType="separate"/>
      </w:r>
      <w:r>
        <w:rPr>
          <w:rStyle w:val="708"/>
          <w:color w:val="000000" w:themeColor="text1"/>
        </w:rPr>
        <w:t xml:space="preserve">кодексом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РФ, другими федеральными законами, иными нормативными правовыми актами РФ (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"consultantplus://offline/ref=B80F892614C6FAF3950980FE2A1D7E1D1CE75CB2B03CFE4EED247795073E9FEDBEBEBA503CE6063AO20CL"</w:instrText>
      </w:r>
      <w:r>
        <w:rPr>
          <w:color w:val="000000" w:themeColor="text1"/>
        </w:rPr>
        <w:fldChar w:fldCharType="separate"/>
      </w:r>
      <w:r>
        <w:rPr>
          <w:rStyle w:val="708"/>
          <w:color w:val="000000" w:themeColor="text1"/>
        </w:rPr>
        <w:t xml:space="preserve">ч. 4 ст. 168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ТК РФ,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"consultantplus://offline/ref=B80F892614C6FAF3950980FE2A1D7E1D1CE65EB3B13EFE4EED247795073E9FEDBEBEBA503CE40330O20CL"</w:instrText>
      </w:r>
      <w:r>
        <w:rPr>
          <w:color w:val="000000" w:themeColor="text1"/>
        </w:rPr>
        <w:fldChar w:fldCharType="separate"/>
      </w:r>
      <w:r>
        <w:rPr>
          <w:rStyle w:val="708"/>
          <w:color w:val="000000" w:themeColor="text1"/>
        </w:rPr>
        <w:t xml:space="preserve">абз. 2 п. 11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"consultantplus://offline/ref=B80F892614C6FAF3950980FE2A1D7E1D1CE65EB3B13EFE4EED247795073E9FEDBEBEBA503CE40337O20FL"</w:instrText>
      </w:r>
      <w:r>
        <w:rPr>
          <w:color w:val="000000" w:themeColor="text1"/>
        </w:rPr>
        <w:fldChar w:fldCharType="separate"/>
      </w:r>
      <w:r>
        <w:rPr>
          <w:rStyle w:val="708"/>
          <w:color w:val="000000" w:themeColor="text1"/>
        </w:rPr>
        <w:t xml:space="preserve">абз. 2 п. 16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Положения о служебных командировках). Следует учитывать, что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"consultantplus://offline/ref=B80F892614C6FAF3950980FE2A1D7E1D1CE759B3B733FE4EED247795073E9FEDBEBEBA5239E2O00BL"</w:instrText>
      </w:r>
      <w:r>
        <w:rPr>
          <w:color w:val="000000" w:themeColor="text1"/>
        </w:rPr>
        <w:fldChar w:fldCharType="separate"/>
      </w:r>
      <w:r>
        <w:rPr>
          <w:rStyle w:val="708"/>
          <w:color w:val="000000" w:themeColor="text1"/>
        </w:rPr>
        <w:t xml:space="preserve">абз. 12 п. 3 ст. 217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НК РФ предусмотрены предельные размеры суточных, которые не облагаются НДФЛ. Они составляют:</w:t>
      </w:r>
      <w:r>
        <w:rPr>
          <w:color w:val="000000" w:themeColor="text1"/>
        </w:rPr>
      </w:r>
      <w:r/>
    </w:p>
    <w:p>
      <w:pPr>
        <w:pStyle w:val="725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не более 700 руб. за каждый день нахождения в командировке на территории РФ;</w:t>
      </w:r>
      <w:r>
        <w:rPr>
          <w:color w:val="000000" w:themeColor="text1"/>
        </w:rPr>
      </w:r>
      <w:r/>
    </w:p>
    <w:p>
      <w:pPr>
        <w:pStyle w:val="725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не более 2500 руб. за каждый день нахождения в заграничной командировке.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b/>
          <w:i/>
          <w:color w:val="000000"/>
          <w:highlight w:val="none"/>
        </w:rPr>
      </w:pPr>
      <w:r>
        <w:rPr>
          <w:b/>
          <w:i/>
          <w:color w:val="000000" w:themeColor="text1"/>
        </w:rPr>
        <w:t xml:space="preserve">Рекомендуем </w:t>
      </w:r>
      <w:r>
        <w:rPr>
          <w:b/>
          <w:i/>
          <w:color w:val="000000" w:themeColor="text1"/>
        </w:rPr>
        <w:t xml:space="preserve">привести в соответствие даты в приказах учреждения и в авансовых о</w:t>
      </w:r>
      <w:r>
        <w:rPr>
          <w:b/>
          <w:i/>
          <w:color w:val="000000" w:themeColor="text1"/>
        </w:rPr>
        <w:t xml:space="preserve">т</w:t>
      </w:r>
      <w:r>
        <w:rPr>
          <w:b/>
          <w:i/>
          <w:color w:val="000000" w:themeColor="text1"/>
        </w:rPr>
        <w:t xml:space="preserve">четах</w:t>
      </w:r>
      <w:r>
        <w:rPr>
          <w:b/>
          <w:i/>
          <w:color w:val="000000" w:themeColor="text1"/>
        </w:rPr>
        <w:t xml:space="preserve">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b/>
          <w:i/>
          <w:color w:val="000000" w:themeColor="text1"/>
          <w:highlight w:val="none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color w:val="000000"/>
        </w:rPr>
      </w:pPr>
      <w:r>
        <w:rPr>
          <w:b/>
          <w:color w:val="000000" w:themeColor="text1"/>
        </w:rPr>
        <w:t xml:space="preserve">Проверка правильности отражения операций с поставщиками и подрядчиками</w:t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Для обобщения информации об операциях с поставщиками и подрядчиками в учреждении применяют счета 302.00 «Расчеты с поставщиками и подрядчиками» и 206.00 «Расчеты по выданным авансам», операции отражаются в журнале – операций № 4 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Проверка операций по расчетам с поставщиками и подрядчиками проведена за период с 01.01.2020 по 31.12.2020 г. Проверены: журналы – операций № 4 «Журнал операций расчетов с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ставщиками и подрядчиками», акты об оказании услуг, выполнении работ, товарные накладные, счета фактуры.</w:t>
      </w:r>
      <w:r>
        <w:rPr>
          <w:color w:val="000000" w:themeColor="text1"/>
        </w:rPr>
      </w:r>
      <w:r/>
    </w:p>
    <w:p>
      <w:pPr>
        <w:pStyle w:val="644"/>
        <w:ind w:firstLine="540"/>
        <w:rPr>
          <w:color w:val="000000"/>
        </w:rPr>
      </w:pPr>
      <w:r>
        <w:rPr>
          <w:color w:val="000000" w:themeColor="text1"/>
        </w:rPr>
        <w:t xml:space="preserve">В ходе проверки выявлено:</w:t>
      </w:r>
      <w:r>
        <w:rPr>
          <w:color w:val="000000" w:themeColor="text1"/>
        </w:rPr>
      </w:r>
      <w:r/>
    </w:p>
    <w:p>
      <w:pPr>
        <w:pStyle w:val="644"/>
        <w:ind w:firstLine="540"/>
        <w:rPr>
          <w:color w:val="000000"/>
        </w:rPr>
      </w:pPr>
      <w:r>
        <w:rPr>
          <w:color w:val="000000" w:themeColor="text1"/>
        </w:rPr>
        <w:t xml:space="preserve">1. нарушение п. 4 ст. 709 Гражданского кодекса РФ</w:t>
      </w:r>
      <w:r>
        <w:rPr>
          <w:color w:val="000000" w:themeColor="text1"/>
        </w:rPr>
      </w:r>
      <w:r/>
    </w:p>
    <w:p>
      <w:pPr>
        <w:pStyle w:val="644"/>
        <w:ind w:firstLine="540"/>
        <w:rPr>
          <w:color w:val="000000"/>
        </w:rPr>
      </w:pPr>
      <w:r>
        <w:rPr>
          <w:color w:val="000000" w:themeColor="text1"/>
        </w:rPr>
        <w:t xml:space="preserve">Согласно положениям ст. 424 Гражданского кодекса РФ стороны правомочны согласовать цену, по которой в дальнейшем будет оплачено исполнение договора.</w:t>
      </w:r>
      <w:r>
        <w:rPr>
          <w:color w:val="000000" w:themeColor="text1"/>
        </w:rPr>
      </w:r>
      <w:r/>
    </w:p>
    <w:p>
      <w:pPr>
        <w:pStyle w:val="644"/>
        <w:ind w:firstLine="540"/>
        <w:rPr>
          <w:color w:val="000000"/>
        </w:rPr>
      </w:pPr>
      <w:r>
        <w:rPr>
          <w:color w:val="000000" w:themeColor="text1"/>
        </w:rPr>
        <w:t xml:space="preserve">При этом цена может быть зафиксирована различными способами, самыми распростране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ными из которых являются:</w:t>
      </w:r>
      <w:r>
        <w:rPr>
          <w:color w:val="000000" w:themeColor="text1"/>
        </w:rPr>
      </w:r>
      <w:r/>
    </w:p>
    <w:p>
      <w:pPr>
        <w:pStyle w:val="644"/>
        <w:numPr>
          <w:ilvl w:val="0"/>
          <w:numId w:val="6"/>
        </w:numPr>
        <w:rPr>
          <w:color w:val="000000"/>
        </w:rPr>
      </w:pPr>
      <w:r>
        <w:rPr>
          <w:color w:val="000000" w:themeColor="text1"/>
        </w:rPr>
        <w:t xml:space="preserve">твердая цена, т. е. установленная в определенном размере, в общем случае не подл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жащем изменению;</w:t>
      </w:r>
      <w:r>
        <w:rPr>
          <w:color w:val="000000" w:themeColor="text1"/>
        </w:rPr>
      </w:r>
      <w:r/>
    </w:p>
    <w:p>
      <w:pPr>
        <w:pStyle w:val="644"/>
        <w:numPr>
          <w:ilvl w:val="0"/>
          <w:numId w:val="6"/>
        </w:numPr>
        <w:rPr>
          <w:color w:val="000000"/>
        </w:rPr>
      </w:pPr>
      <w:r>
        <w:rPr>
          <w:color w:val="000000" w:themeColor="text1"/>
        </w:rPr>
        <w:t xml:space="preserve">приблизительная цена, т. е. цена, окончательный расчет которой будет произведен по факту исполнения договора. 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При этом стороны на основании норм ст. 450 ГК РФ правомочны изменить по взаимному с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глашению или в судебном порядке всякое условие договора, в т. ч. и установленную в твердой форме цену договора.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В договорах Учреждения с поставщиками, подрядчиками отсутствуют формулировки пол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жений, закрепляющих определенный способ фиксации цены работ, например: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договор от 15.09.2020 ГПКО «ИД «Авангард» на сумму 3500,00 рублей;</w:t>
      </w:r>
      <w:r>
        <w:rPr>
          <w:color w:val="000000" w:themeColor="text1"/>
        </w:rPr>
      </w:r>
      <w:r/>
    </w:p>
    <w:p>
      <w:pPr>
        <w:pStyle w:val="644"/>
        <w:ind w:firstLine="540"/>
        <w:rPr>
          <w:b/>
          <w:i/>
          <w:color w:val="000000"/>
        </w:rPr>
      </w:pPr>
      <w:r>
        <w:rPr>
          <w:b/>
          <w:i/>
          <w:color w:val="000000" w:themeColor="text1"/>
        </w:rPr>
        <w:t xml:space="preserve">Рекомендуем заключать договоры в соответствии с Гражданским Кодексом Российской Федерации.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color w:val="000000"/>
        </w:rPr>
      </w:pPr>
      <w:r>
        <w:rPr>
          <w:b/>
          <w:color w:val="000000" w:themeColor="text1"/>
        </w:rPr>
        <w:t xml:space="preserve">Проверка правильности отражения расчетов с дебиторами по доходам</w:t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 Для обобщения информации о расчетах с дебиторами по доходам в учреждении применяется счет 205.00 «Расчеты с дебиторами по доходам», операции отражаются в журнале – операций № 5.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 Проверка расчетов с дебиторами по доходам проведена за период с 01.01.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 по 31.12.</w:t>
      </w:r>
      <w:r>
        <w:rPr>
          <w:color w:val="000000" w:themeColor="text1"/>
        </w:rPr>
        <w:t xml:space="preserve">2020</w:t>
      </w:r>
      <w:r>
        <w:rPr>
          <w:color w:val="000000" w:themeColor="text1"/>
        </w:rPr>
        <w:t xml:space="preserve">. Проверены журналы – операций № 5 «Расчеты с дебиторами по доходам», акты об оказании услуг (товарные накладные).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В ходе проверки выявлено нарушение ст.9 Федерального закона "О бухгалтерском учете" от 06.12.2011 N 402-ФЗ, например:</w:t>
      </w:r>
      <w:r>
        <w:rPr>
          <w:color w:val="000000" w:themeColor="text1"/>
        </w:rPr>
      </w:r>
      <w:r/>
    </w:p>
    <w:tbl>
      <w:tblPr>
        <w:tblW w:w="0" w:type="auto"/>
        <w:tblInd w:w="-11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15"/>
        <w:gridCol w:w="1085"/>
        <w:gridCol w:w="1440"/>
        <w:gridCol w:w="1800"/>
        <w:gridCol w:w="1372"/>
        <w:gridCol w:w="2987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Наименов</w:t>
            </w:r>
            <w:r>
              <w:rPr>
                <w:color w:val="000000" w:themeColor="text1"/>
                <w:sz w:val="24"/>
              </w:rPr>
              <w:t xml:space="preserve">а</w:t>
            </w:r>
            <w:r>
              <w:rPr>
                <w:color w:val="000000" w:themeColor="text1"/>
                <w:sz w:val="24"/>
              </w:rPr>
              <w:t xml:space="preserve">ние услуги, товара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док</w:t>
            </w:r>
            <w:r>
              <w:rPr>
                <w:color w:val="000000" w:themeColor="text1"/>
                <w:sz w:val="24"/>
              </w:rPr>
              <w:t xml:space="preserve">у</w:t>
            </w:r>
            <w:r>
              <w:rPr>
                <w:color w:val="000000" w:themeColor="text1"/>
                <w:sz w:val="24"/>
              </w:rPr>
              <w:t xml:space="preserve">мент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и дата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Контрагент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Сумма, принятая к учету, руб.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Нарушение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1 от 09.01.2020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потребители - частные лица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1545,00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2 от 10.01.2020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потребители - частные лица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3227,00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3 от 13.01.2020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потребители - частные лица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3273,00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/>
          </w:p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№ 15 от 17.01.2020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потребители - частные лица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2839,00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644"/>
        <w:ind w:firstLine="540"/>
        <w:rPr>
          <w:color w:val="000000"/>
        </w:rPr>
      </w:pPr>
      <w:r>
        <w:rPr>
          <w:b/>
          <w:i/>
          <w:color w:val="000000" w:themeColor="text1"/>
        </w:rPr>
        <w:t xml:space="preserve">Рекомендуем устранить отмеченные недостатки за 2020 год.</w:t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  <w:tab/>
        <w:t xml:space="preserve">Проверка правильности расчетов по оплате труда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b/>
          <w:color w:val="000000" w:themeColor="text1"/>
        </w:rPr>
        <w:tab/>
      </w:r>
      <w:r>
        <w:rPr>
          <w:color w:val="000000" w:themeColor="text1"/>
        </w:rPr>
        <w:t xml:space="preserve">  Учет расчетов по заработной плате ведется на счете 302.01 «Расчеты по заработной пл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те», операции отражаются в журнале – операций № 6 «Расчеты по оплате труда».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Начисление заработной платы осуществляется на основании табелей учета рабочего времени и приказов руководителя, согласно штатному расписанию.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Расчеты по оплате труда  автоматизированы. 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Сроки выплаты заработной платы установлены 10 и 25 числа каждого месяца.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В ходе проверки нарушений на данном участке учета выявлено: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1. </w:t>
      </w:r>
      <w:r>
        <w:rPr>
          <w:color w:val="000000" w:themeColor="text1"/>
        </w:rPr>
        <w:t xml:space="preserve">факты несоответствия данных, указанных в табеле рабочего времени</w:t>
      </w:r>
      <w:r>
        <w:rPr>
          <w:color w:val="000000" w:themeColor="text1"/>
        </w:rPr>
        <w:t xml:space="preserve"> и авансовых отчетах</w:t>
      </w:r>
      <w:r>
        <w:rPr>
          <w:color w:val="000000" w:themeColor="text1"/>
        </w:rPr>
        <w:t xml:space="preserve"> редакции, например: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авансовый отчет № 68 от 26.11.2020 Огарков С.</w:t>
      </w:r>
      <w:r>
        <w:rPr>
          <w:color w:val="000000" w:themeColor="text1"/>
        </w:rPr>
        <w:t xml:space="preserve">Ю. на сумму 4999,62 руб.(чеки на приобретение ГСМ приложены от 24 и 25.11.2020);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b/>
          <w:i/>
          <w:color w:val="000000"/>
        </w:rPr>
      </w:pPr>
      <w:r>
        <w:rPr>
          <w:color w:val="000000" w:themeColor="text1"/>
        </w:rPr>
        <w:t xml:space="preserve">По вышеуказанным документам в табеле рабочего времени дни указаны условным обознач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нием «</w:t>
      </w:r>
      <w:r>
        <w:rPr>
          <w:color w:val="000000" w:themeColor="text1"/>
        </w:rPr>
        <w:t xml:space="preserve">Я», а не «К</w:t>
      </w:r>
      <w:r>
        <w:rPr>
          <w:color w:val="000000" w:themeColor="text1"/>
        </w:rPr>
        <w:t xml:space="preserve">».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b/>
          <w:i/>
          <w:color w:val="000000"/>
        </w:rPr>
      </w:pPr>
      <w:r>
        <w:rPr>
          <w:b/>
          <w:i/>
          <w:color w:val="000000" w:themeColor="text1"/>
        </w:rPr>
        <w:t xml:space="preserve">Рекомендуем устранить отмеченные недостатки.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2. факты нарушения оплаты труда работника во время командировки, например: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авансовый отчет № 68 от 26.11.2020 Огарков С.</w:t>
      </w:r>
      <w:r>
        <w:rPr>
          <w:color w:val="000000" w:themeColor="text1"/>
        </w:rPr>
        <w:t xml:space="preserve">Ю. на сумму 4999,62 руб.(чеки на приобретение ГСМ приложены от 24 и 25.11.2020);</w:t>
      </w:r>
      <w:r>
        <w:rPr>
          <w:color w:val="000000" w:themeColor="text1"/>
        </w:rPr>
      </w:r>
      <w:r/>
    </w:p>
    <w:p>
      <w:pPr>
        <w:pStyle w:val="726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Оплата труда работника во время командировки в случае привлечения его к работе в выходные или нерабочие праздничные дни производится в соответствии со ст. 153 ТК РФ.</w:t>
      </w:r>
      <w:r>
        <w:rPr>
          <w:color w:val="000000" w:themeColor="text1"/>
        </w:rPr>
      </w:r>
      <w:r/>
    </w:p>
    <w:p>
      <w:pPr>
        <w:pStyle w:val="726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Средний заработок сохраняется за сотрудн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иком за дни работы по графику, установленному в командирующей организации, которые он не смог отработать в связи с отъездом в командировку и за которые соответственно не получит зарплату. Количество таких дней определяется по табелю учета рабочего времени.</w:t>
      </w:r>
      <w:r>
        <w:rPr>
          <w:color w:val="000000" w:themeColor="text1"/>
        </w:rPr>
      </w:r>
      <w:r/>
    </w:p>
    <w:p>
      <w:pPr>
        <w:pStyle w:val="726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Чтобы определить сумму среднего заработка, следует количество дней командировки, приходящихся на рабочие дни по графику основной работы сотрудника, умножить на средний дневной заработок. Средний дневной заработок рассчитывается 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данном случае в соответствии с п. 9 Положения о среднем заработке. Для его определения сумму заработной платы, фактически начисленной за отработанные дни в расчетном периоде, нужно разделить на количество дней, фактически отработанных в расчетном периоде.</w:t>
      </w:r>
      <w:r>
        <w:rPr>
          <w:color w:val="000000" w:themeColor="text1"/>
        </w:rPr>
      </w:r>
      <w:r/>
    </w:p>
    <w:p>
      <w:pPr>
        <w:pStyle w:val="726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Расчетный период составляет 12 календарных месяцев (с первого по последнее к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алендарное число), предшествующих периоду, в течение которого за работником сохраняется средняя заработная плата (ч. 3 ст. 139 ТК РФ). Например, если командировка начинается 17 ноября 2011 г., расчетным будет период с 1 ноября 2010 г. по 31 октября 2011 г.</w:t>
      </w:r>
      <w:r>
        <w:rPr>
          <w:color w:val="000000" w:themeColor="text1"/>
        </w:rPr>
      </w:r>
      <w:r/>
    </w:p>
    <w:p>
      <w:pPr>
        <w:pStyle w:val="726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При расчете сред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него заработка за время командировки учитываются не календарные дни расчетного периода, как для расчета отпускных, а только отработанные в расчетном периоде. Это правило действует и в том случае, если сотруднику установлен режим неполного рабочего времени.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 Сведения о количестве отработанных в расчетном периоде дней содержатся в табеле учета рабочего времени за каждый месяц расчетного периода.</w:t>
      </w:r>
      <w:r>
        <w:rPr>
          <w:color w:val="000000" w:themeColor="text1"/>
        </w:rPr>
      </w:r>
      <w:r/>
    </w:p>
    <w:p>
      <w:pPr>
        <w:pStyle w:val="726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Необходимо произвести перерасчет по сотрудникам редакции и привести в соответствие данные, указанные в сводах начислений и приказах.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3. факты нарушения </w:t>
      </w:r>
      <w:r>
        <w:rPr>
          <w:color w:val="000000" w:themeColor="text1"/>
        </w:rPr>
        <w:t xml:space="preserve">выплаты</w:t>
      </w:r>
      <w:r>
        <w:rPr>
          <w:color w:val="000000" w:themeColor="text1"/>
        </w:rPr>
        <w:t xml:space="preserve"> суточных труда работника во время командировки, напр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мер: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- авансовый отчет № 68 от 26.11.2020 Огарков С.</w:t>
      </w:r>
      <w:r>
        <w:rPr>
          <w:color w:val="000000" w:themeColor="text1"/>
        </w:rPr>
        <w:t xml:space="preserve">Ю. на сумму 4999,62 руб.(чеки на приобретение ГСМ приложены от 24 и 25.11.2020);</w:t>
      </w:r>
      <w:r>
        <w:rPr>
          <w:color w:val="000000" w:themeColor="text1"/>
        </w:rPr>
      </w:r>
      <w:r/>
    </w:p>
    <w:p>
      <w:pPr>
        <w:pStyle w:val="726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Необходимо произвести перерасчет по сотрудникам редакции и привести в соответствие данные, указанные в сводах начислений и приказах.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4. </w:t>
      </w:r>
      <w:r>
        <w:rPr>
          <w:color w:val="000000" w:themeColor="text1"/>
        </w:rPr>
        <w:t xml:space="preserve">нарушения документального оформления первичных учетных докум</w:t>
      </w:r>
      <w:r>
        <w:rPr>
          <w:color w:val="000000" w:themeColor="text1"/>
        </w:rPr>
        <w:t xml:space="preserve">ентов (приказов об увольнении). При расторжении трудовых отношений с работником редакции, а именно отсутс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вуют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указания бухгалтерии на оплату компенсации за неиспользованный отпуск при увол</w:t>
      </w:r>
      <w:r>
        <w:rPr>
          <w:color w:val="000000" w:themeColor="text1"/>
        </w:rPr>
        <w:t xml:space="preserve">ь</w:t>
      </w:r>
      <w:r>
        <w:rPr>
          <w:color w:val="000000" w:themeColor="text1"/>
        </w:rPr>
        <w:t xml:space="preserve">нении сотрудников</w:t>
      </w:r>
      <w:r>
        <w:rPr>
          <w:color w:val="000000" w:themeColor="text1"/>
        </w:rPr>
        <w:t xml:space="preserve">,</w:t>
      </w:r>
      <w:r>
        <w:rPr>
          <w:color w:val="000000" w:themeColor="text1"/>
        </w:rPr>
        <w:t xml:space="preserve"> например, приказ</w:t>
      </w:r>
      <w:r>
        <w:rPr>
          <w:color w:val="000000" w:themeColor="text1"/>
        </w:rPr>
        <w:t xml:space="preserve">ы</w:t>
      </w:r>
      <w:r>
        <w:rPr>
          <w:color w:val="000000" w:themeColor="text1"/>
        </w:rPr>
        <w:t xml:space="preserve"> от 19.02.2020 № 19, от 20.01.2020 № 8, от 08.04.2020 № 32, от 14.07.2020 № 58;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b/>
          <w:i/>
          <w:color w:val="000000" w:themeColor="text1"/>
        </w:rPr>
        <w:t xml:space="preserve">Рекомендуем устранить отмеченные недостатки за 2020 год и оформлять приказы в соответствии с требованиями Трудового Кодекса Российской Федерации.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  <w:t xml:space="preserve">5. </w:t>
      </w:r>
      <w:r>
        <w:rPr>
          <w:color w:val="000000" w:themeColor="text1"/>
        </w:rPr>
        <w:t xml:space="preserve">неправомерная выплата  редактору Селезневой Е.Н. (отсутствует приказ информационно - аналитического управления Костромской области) за работу в выходные и праздничные дни из бюджетных средств, н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пример, по приказу от 30.04.2020 № 35, от 30.06.2020 № 54;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b/>
          <w:i/>
          <w:color w:val="000000" w:themeColor="text1"/>
        </w:rPr>
        <w:t xml:space="preserve">Необходимо удержать излишне перечисленные суммы по заявлению сотрудника Учреждения.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rFonts w:ascii="Times New Roman" w:hAnsi="Times New Roman" w:cs="Times New Roman" w:eastAsia="Times New Roman"/>
          <w:b w:val="false"/>
          <w:i w:val="false"/>
          <w:color w:val="000000"/>
          <w:sz w:val="24"/>
          <w:u w:val="none"/>
        </w:rPr>
      </w:pPr>
      <w:r>
        <w:rPr>
          <w:color w:val="000000" w:themeColor="text1"/>
        </w:rPr>
        <w:t xml:space="preserve">6. </w:t>
      </w:r>
      <w:r>
        <w:rPr>
          <w:b w:val="false"/>
          <w:color w:val="000000" w:themeColor="text1"/>
        </w:rPr>
        <w:t xml:space="preserve">нарушение с. 153 Трудового кодекса РФ</w:t>
      </w:r>
      <w:r>
        <w:rPr>
          <w:b w:val="false"/>
          <w:color w:val="000000" w:themeColor="text1"/>
        </w:rPr>
        <w:t xml:space="preserve"> в части документального оформления для оплаты сотрудников учреждения в выходные и праздничные дни. </w:t>
      </w:r>
      <w:r>
        <w:rPr>
          <w:rFonts w:ascii="Times New Roman" w:hAnsi="Times New Roman" w:cs="Times New Roman" w:eastAsia="Times New Roman"/>
          <w:b w:val="false"/>
          <w:i w:val="false"/>
          <w:color w:val="000000" w:themeColor="text1"/>
          <w:sz w:val="24"/>
          <w:u w:val="none"/>
        </w:rPr>
        <w:t xml:space="preserve">Р</w:t>
      </w:r>
      <w:r>
        <w:rPr>
          <w:rFonts w:ascii="Times New Roman" w:hAnsi="Times New Roman" w:cs="Times New Roman" w:eastAsia="Times New Roman"/>
          <w:i w:val="false"/>
          <w:color w:val="000000" w:themeColor="text1"/>
          <w:sz w:val="24"/>
          <w:highlight w:val="white"/>
          <w:u w:val="none"/>
        </w:rPr>
        <w:t xml:space="preserve">абота в выходные и нерабочие праздничные дни запрещается, за исключением случаев, предусмотренных ТК РФ (ст. 113 ТК РФ). Привлечение сотрудников к работе в такие дни производится с их </w:t>
      </w:r>
      <w:r>
        <w:rPr>
          <w:rFonts w:ascii="Times New Roman" w:hAnsi="Times New Roman" w:cs="Times New Roman" w:eastAsia="Times New Roman"/>
          <w:i w:val="false"/>
          <w:color w:val="000000" w:themeColor="text1"/>
          <w:sz w:val="24"/>
          <w:highlight w:val="white"/>
          <w:u w:val="none"/>
        </w:rPr>
        <w:t xml:space="preserve">письменного согласия</w:t>
      </w:r>
      <w:r>
        <w:rPr>
          <w:rFonts w:ascii="Times New Roman" w:hAnsi="Times New Roman" w:cs="Times New Roman" w:eastAsia="Times New Roman"/>
          <w:i w:val="false"/>
          <w:color w:val="000000" w:themeColor="text1"/>
          <w:sz w:val="24"/>
          <w:highlight w:val="white"/>
          <w:u w:val="none"/>
        </w:rPr>
        <w:t xml:space="preserve"> и по </w:t>
      </w:r>
      <w:r>
        <w:rPr>
          <w:rFonts w:ascii="Times New Roman" w:hAnsi="Times New Roman" w:cs="Times New Roman" w:eastAsia="Times New Roman"/>
          <w:i w:val="false"/>
          <w:color w:val="000000" w:themeColor="text1"/>
          <w:sz w:val="24"/>
          <w:highlight w:val="white"/>
          <w:u w:val="none"/>
        </w:rPr>
        <w:t xml:space="preserve">письменному распоряжению работодателя</w:t>
      </w:r>
      <w:r>
        <w:rPr>
          <w:rFonts w:ascii="Times New Roman" w:hAnsi="Times New Roman" w:cs="Times New Roman" w:eastAsia="Times New Roman"/>
          <w:i w:val="false"/>
          <w:color w:val="000000" w:themeColor="text1"/>
          <w:sz w:val="24"/>
          <w:highlight w:val="white"/>
          <w:u w:val="none"/>
        </w:rPr>
        <w:t xml:space="preserve">.</w:t>
      </w:r>
      <w:r>
        <w:rPr>
          <w:rFonts w:ascii="Times New Roman" w:hAnsi="Times New Roman" w:cs="Times New Roman" w:eastAsia="Times New Roman"/>
          <w:b w:val="false"/>
          <w:i w:val="false"/>
          <w:color w:val="000000" w:themeColor="text1"/>
          <w:sz w:val="24"/>
          <w:u w:val="none"/>
        </w:rPr>
        <w:t xml:space="preserve"> Данная статья не подразумевает оплаты при круглосуточном дежурстве на мобильных телефонах. А в редакции данный вид работы оплачен, отсутствует согласие работников и вид оплаты, например, по приказу от 30.04.2020 № 35, от 26.06.2020 № 50, </w:t>
      </w:r>
      <w:r>
        <w:rPr>
          <w:color w:val="000000" w:themeColor="text1"/>
        </w:rPr>
        <w:t xml:space="preserve">от 30.06.2020 № 54, от 29.12.2020 № 92</w:t>
      </w:r>
      <w:r>
        <w:rPr>
          <w:rFonts w:ascii="Times New Roman" w:hAnsi="Times New Roman" w:cs="Times New Roman" w:eastAsia="Times New Roman"/>
          <w:b w:val="false"/>
          <w:i w:val="false"/>
          <w:color w:val="000000" w:themeColor="text1"/>
          <w:sz w:val="24"/>
          <w:u w:val="none"/>
        </w:rPr>
        <w:t xml:space="preserve">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rFonts w:ascii="Times New Roman" w:hAnsi="Times New Roman" w:cs="Times New Roman" w:eastAsia="Times New Roman"/>
          <w:color w:val="000000"/>
        </w:rPr>
      </w:pPr>
      <w:r>
        <w:rPr>
          <w:rFonts w:ascii="Times New Roman" w:hAnsi="Times New Roman" w:cs="Times New Roman" w:eastAsia="Times New Roman"/>
          <w:b w:val="false"/>
          <w:i w:val="false"/>
          <w:color w:val="000000" w:themeColor="text1"/>
          <w:sz w:val="24"/>
          <w:u w:val="none"/>
        </w:rPr>
      </w:r>
      <w:r>
        <w:rPr>
          <w:b/>
          <w:i/>
          <w:color w:val="000000" w:themeColor="text1"/>
        </w:rPr>
        <w:t xml:space="preserve">Рекомендуем привести приказы учреждения</w:t>
      </w:r>
      <w:r>
        <w:rPr>
          <w:b/>
          <w:i/>
          <w:color w:val="000000" w:themeColor="text1"/>
        </w:rPr>
        <w:t xml:space="preserve"> в соответствие нормам трудового законодательства, сделать перерасчеты по данным сотрудникам и удержать излишне начисленные суммы по заявлению работника.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  <w:t xml:space="preserve">7. неправомерная выплата редактору Селезневой Е.Н. гонорара из внебюджетных средств, н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пример: </w:t>
      </w:r>
      <w:r>
        <w:rPr>
          <w:color w:val="000000" w:themeColor="text1"/>
        </w:rPr>
      </w:r>
      <w:r/>
    </w:p>
    <w:tbl>
      <w:tblPr>
        <w:tblW w:w="0" w:type="auto"/>
        <w:tblInd w:w="237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94"/>
        <w:gridCol w:w="3128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44"/>
              <w:ind w:left="249" w:hanging="249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месяц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textDirection w:val="lrTb"/>
            <w:noWrap w:val="false"/>
          </w:tcPr>
          <w:p>
            <w:pPr>
              <w:pStyle w:val="644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сумма, руб.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44"/>
              <w:ind w:left="249" w:hanging="249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май</w:t>
            </w:r>
            <w:r>
              <w:rPr>
                <w:color w:val="000000" w:themeColor="text1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4"/>
                <w:lang w:val="ru-RU"/>
              </w:rPr>
              <w:t xml:space="preserve">170,00</w:t>
            </w:r>
            <w:r>
              <w:rPr>
                <w:color w:val="000000" w:themeColor="text1"/>
              </w:rPr>
            </w:r>
            <w:r/>
          </w:p>
        </w:tc>
      </w:tr>
    </w:tbl>
    <w:p>
      <w:pPr>
        <w:pStyle w:val="644"/>
        <w:ind w:firstLine="696"/>
        <w:jc w:val="both"/>
        <w:rPr>
          <w:color w:val="000000"/>
        </w:rPr>
      </w:pPr>
      <w:r>
        <w:rPr>
          <w:color w:val="000000" w:themeColor="text1"/>
        </w:rPr>
        <w:t xml:space="preserve">Согласно трудовому договору, заключенного 07.09.2010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с руководителем  </w:t>
      </w:r>
      <w:r>
        <w:rPr>
          <w:color w:val="000000" w:themeColor="text1"/>
        </w:rPr>
        <w:t xml:space="preserve">ОГБУ</w:t>
      </w:r>
      <w:r>
        <w:rPr>
          <w:color w:val="000000" w:themeColor="text1"/>
        </w:rPr>
        <w:t xml:space="preserve"> «Реда</w:t>
      </w:r>
      <w:r>
        <w:rPr>
          <w:color w:val="000000" w:themeColor="text1"/>
        </w:rPr>
        <w:t xml:space="preserve">к</w:t>
      </w:r>
      <w:r>
        <w:rPr>
          <w:color w:val="000000" w:themeColor="text1"/>
        </w:rPr>
        <w:t xml:space="preserve">ция газеты «</w:t>
      </w:r>
      <w:r>
        <w:rPr>
          <w:color w:val="000000" w:themeColor="text1"/>
        </w:rPr>
        <w:t xml:space="preserve">Вохомская  правда</w:t>
      </w:r>
      <w:r>
        <w:rPr>
          <w:color w:val="000000" w:themeColor="text1"/>
        </w:rPr>
        <w:t xml:space="preserve">» Селезневой Е.Н.</w:t>
      </w:r>
      <w:r>
        <w:rPr>
          <w:color w:val="000000" w:themeColor="text1"/>
        </w:rPr>
        <w:t xml:space="preserve">, и дополнительных соглашений к нему, основ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ния выплачивать гонорар отсутствуют, т.к. данный вид поощрения не предусмотрен представле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ными документами, а термин «гонорар» в Трудовом Кодексе РФ не сущес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вует.</w:t>
      </w:r>
      <w:r>
        <w:rPr>
          <w:color w:val="000000" w:themeColor="text1"/>
        </w:rPr>
      </w:r>
      <w:r/>
    </w:p>
    <w:p>
      <w:pPr>
        <w:pStyle w:val="644"/>
        <w:ind w:firstLine="696"/>
        <w:jc w:val="both"/>
        <w:rPr>
          <w:color w:val="000000"/>
        </w:rPr>
      </w:pPr>
      <w:r>
        <w:rPr>
          <w:b/>
          <w:i/>
          <w:color w:val="000000" w:themeColor="text1"/>
        </w:rPr>
        <w:t xml:space="preserve">Рекомендуем прекратить данный вид выплат руководителю и не нарушать данное з</w:t>
      </w:r>
      <w:r>
        <w:rPr>
          <w:b/>
          <w:i/>
          <w:color w:val="000000" w:themeColor="text1"/>
        </w:rPr>
        <w:t xml:space="preserve">а</w:t>
      </w:r>
      <w:r>
        <w:rPr>
          <w:b/>
          <w:i/>
          <w:color w:val="000000" w:themeColor="text1"/>
        </w:rPr>
        <w:t xml:space="preserve">мечание впредь</w:t>
      </w:r>
      <w:r>
        <w:rPr>
          <w:b/>
          <w:i/>
          <w:color w:val="000000" w:themeColor="text1"/>
        </w:rPr>
        <w:t xml:space="preserve">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  <w:t xml:space="preserve">Проверка правильности отражения операций </w:t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  <w:t xml:space="preserve">по выбытию и перемещению нефинансовых активов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Для обобщения информации о выбытии и перемещении нефинансовых активов применяются счета 101 «Основные средства», 104 «Амортизация», 105 «Материальные запасы», 105.07 «Гот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вая продукция», операции отражаются в журнале – операций № 7 «Выбытие и перемещение н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финансовых активов».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Для проверки представлены: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1.Журнал – операций № 7 «Выбытие и перемещение нефинансовых активов»;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2.Ведомости выдачи материальных запасов на нужды учреждения;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3. Путевые листы;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4. Акты на </w:t>
      </w:r>
      <w:r>
        <w:rPr>
          <w:color w:val="000000" w:themeColor="text1"/>
        </w:rPr>
        <w:t xml:space="preserve">списание материальных ценностей.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5. </w:t>
      </w:r>
      <w:r>
        <w:rPr>
          <w:color w:val="000000" w:themeColor="text1"/>
        </w:rPr>
        <w:t xml:space="preserve">Приказ «О нормах расхода ГСМ на работу автотранспорта</w:t>
      </w:r>
      <w:r>
        <w:rPr>
          <w:color w:val="000000" w:themeColor="text1"/>
        </w:rPr>
        <w:t xml:space="preserve">» от 201.12.2016 № 76.</w:t>
      </w:r>
      <w:r>
        <w:rPr>
          <w:color w:val="000000" w:themeColor="text1"/>
        </w:rPr>
      </w:r>
      <w:r/>
    </w:p>
    <w:p>
      <w:pPr>
        <w:pStyle w:val="644"/>
        <w:ind w:left="0" w:right="0" w:firstLine="708"/>
        <w:jc w:val="both"/>
        <w:rPr>
          <w:b w:val="false"/>
          <w:i w:val="false"/>
          <w:color w:val="000000"/>
          <w:highlight w:val="none"/>
        </w:rPr>
      </w:pPr>
      <w:r>
        <w:rPr>
          <w:b w:val="false"/>
          <w:i w:val="false"/>
          <w:color w:val="000000" w:themeColor="text1"/>
        </w:rPr>
        <w:t xml:space="preserve">На данном участке учёта выявлено:</w:t>
      </w:r>
      <w:r>
        <w:rPr>
          <w:color w:val="000000" w:themeColor="text1"/>
        </w:rPr>
      </w:r>
      <w:r/>
    </w:p>
    <w:p>
      <w:pPr>
        <w:pStyle w:val="644"/>
        <w:ind w:left="0" w:right="0" w:firstLine="708"/>
        <w:jc w:val="both"/>
        <w:rPr>
          <w:b w:val="false"/>
          <w:i w:val="false"/>
          <w:color w:val="000000"/>
        </w:rPr>
      </w:pPr>
      <w:r>
        <w:rPr>
          <w:b w:val="false"/>
          <w:i w:val="false"/>
          <w:color w:val="000000" w:themeColor="text1"/>
          <w:highlight w:val="none"/>
        </w:rPr>
        <w:t xml:space="preserve">1.документальное нарушение первичных документов, например, в актах о списании материальных запасов (отсутствие подписи членов комиссии):</w:t>
      </w:r>
      <w:r>
        <w:rPr>
          <w:color w:val="000000" w:themeColor="text1"/>
        </w:rPr>
      </w:r>
      <w:r/>
    </w:p>
    <w:p>
      <w:pPr>
        <w:pStyle w:val="644"/>
        <w:numPr>
          <w:ilvl w:val="0"/>
          <w:numId w:val="8"/>
        </w:numPr>
        <w:jc w:val="both"/>
        <w:rPr>
          <w:b w:val="false"/>
          <w:i w:val="false"/>
          <w:color w:val="000000"/>
        </w:rPr>
      </w:pPr>
      <w:r>
        <w:rPr>
          <w:b w:val="false"/>
          <w:i w:val="false"/>
          <w:color w:val="000000" w:themeColor="text1"/>
          <w:highlight w:val="none"/>
        </w:rPr>
        <w:t xml:space="preserve">акт от 31.07.2020 № 26 не по</w:t>
      </w:r>
      <w:r>
        <w:rPr>
          <w:b w:val="false"/>
          <w:i w:val="false"/>
          <w:color w:val="000000" w:themeColor="text1"/>
          <w:highlight w:val="none"/>
        </w:rPr>
        <w:t xml:space="preserve">дписан А.Н. Травиной;</w:t>
      </w:r>
      <w:r>
        <w:rPr>
          <w:color w:val="000000" w:themeColor="text1"/>
        </w:rPr>
      </w:r>
      <w:r/>
    </w:p>
    <w:p>
      <w:pPr>
        <w:pStyle w:val="644"/>
        <w:ind w:left="0" w:right="0" w:firstLine="567"/>
        <w:jc w:val="both"/>
        <w:rPr>
          <w:b w:val="false"/>
          <w:i w:val="false"/>
          <w:color w:val="000000"/>
          <w:highlight w:val="none"/>
        </w:rPr>
      </w:pPr>
      <w:r>
        <w:rPr>
          <w:b w:val="false"/>
          <w:i w:val="false"/>
          <w:color w:val="000000" w:themeColor="text1"/>
          <w:highlight w:val="none"/>
        </w:rPr>
        <w:t xml:space="preserve">2. приобретение ГСМ в количестве, превышающем технические характеристики транспортных средств, например: </w:t>
      </w:r>
      <w:r>
        <w:rPr>
          <w:color w:val="000000" w:themeColor="text1"/>
        </w:rPr>
      </w:r>
      <w:r/>
    </w:p>
    <w:p>
      <w:pPr>
        <w:pStyle w:val="644"/>
        <w:ind w:left="0" w:right="0" w:firstLine="567"/>
        <w:jc w:val="both"/>
        <w:rPr>
          <w:b w:val="false"/>
          <w:i w:val="false"/>
          <w:color w:val="000000"/>
        </w:rPr>
      </w:pPr>
      <w:r>
        <w:rPr>
          <w:b w:val="false"/>
          <w:i w:val="false"/>
          <w:color w:val="000000" w:themeColor="text1"/>
          <w:highlight w:val="none"/>
        </w:rPr>
        <w:t xml:space="preserve">-по авансовому отчету от 10.09.2020 № 51 Травина А.А. на сумму 5 000 руб. (было единоразово заправлено 116,61 л, что не соответствует общей вместимости бензобака автомобиля УАЗ 70 л)</w:t>
      </w:r>
      <w:r>
        <w:rPr>
          <w:b w:val="false"/>
          <w:i w:val="false"/>
          <w:color w:val="000000" w:themeColor="text1"/>
          <w:highlight w:val="none"/>
        </w:rPr>
        <w:t xml:space="preserve">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b/>
          <w:i/>
          <w:color w:val="000000"/>
          <w:highlight w:val="none"/>
        </w:rPr>
      </w:pPr>
      <w:r>
        <w:rPr>
          <w:b w:val="false"/>
          <w:i w:val="false"/>
          <w:color w:val="000000" w:themeColor="text1"/>
        </w:rPr>
      </w:r>
      <w:r>
        <w:rPr>
          <w:b/>
          <w:i/>
          <w:color w:val="000000" w:themeColor="text1"/>
        </w:rPr>
        <w:t xml:space="preserve">Рекомендуем обратить внимание на данное нарушение и не допускать впредь.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b w:val="false"/>
          <w:i w:val="false"/>
          <w:color w:val="000000"/>
        </w:rPr>
      </w:pPr>
      <w:r>
        <w:rPr>
          <w:b/>
          <w:i/>
          <w:color w:val="000000" w:themeColor="text1"/>
          <w:highlight w:val="none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  <w:t xml:space="preserve">Заключительная часть</w:t>
      </w:r>
      <w:r>
        <w:rPr>
          <w:color w:val="000000" w:themeColor="text1"/>
        </w:rPr>
      </w:r>
      <w:r/>
    </w:p>
    <w:p>
      <w:pPr>
        <w:pStyle w:val="644"/>
        <w:ind w:firstLine="540"/>
        <w:jc w:val="center"/>
        <w:rPr>
          <w:b/>
          <w:color w:val="000000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В ходе проверки за 2020</w:t>
      </w:r>
      <w:r>
        <w:rPr>
          <w:color w:val="000000" w:themeColor="text1"/>
        </w:rPr>
        <w:t xml:space="preserve"> год выявлен</w:t>
      </w:r>
      <w:r>
        <w:rPr>
          <w:color w:val="000000" w:themeColor="text1"/>
        </w:rPr>
        <w:t xml:space="preserve">ы</w:t>
      </w:r>
      <w:r>
        <w:rPr>
          <w:color w:val="000000" w:themeColor="text1"/>
        </w:rPr>
        <w:t xml:space="preserve">: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1. нарушение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"consultantplus://offline/ref=E8D0AD034381026843D6BD3486D91B1300329E33C5DCE279F6B3F29B927489AD5202F1A97C40F1EE5720CBA635D2B706D06443D2365E2A11ODX7M"</w:instrText>
      </w:r>
      <w:r>
        <w:rPr>
          <w:color w:val="000000" w:themeColor="text1"/>
        </w:rPr>
        <w:fldChar w:fldCharType="separate"/>
      </w:r>
      <w:r>
        <w:rPr>
          <w:rStyle w:val="708"/>
          <w:color w:val="000000" w:themeColor="text1"/>
          <w:u w:val="none"/>
        </w:rPr>
        <w:t xml:space="preserve">пунктов 6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302.1 Инструкции по применению Единого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"consultantplus://offline/ref=58270717226EDAB794BC36B28A3E69392382DDB826C230B63EDA1A3E60158058FED344D367DCEF01F53EF20BBDD878F3304515B824D4F8F0z0YDM"</w:instrText>
      </w:r>
      <w:r>
        <w:rPr>
          <w:color w:val="000000" w:themeColor="text1"/>
        </w:rPr>
        <w:fldChar w:fldCharType="separate"/>
      </w:r>
      <w:r>
        <w:rPr>
          <w:rStyle w:val="708"/>
          <w:color w:val="000000" w:themeColor="text1"/>
          <w:u w:val="none"/>
        </w:rPr>
        <w:t xml:space="preserve">плана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счетов бухгалте</w:t>
      </w:r>
      <w:r>
        <w:rPr>
          <w:color w:val="000000" w:themeColor="text1"/>
        </w:rPr>
        <w:t xml:space="preserve">р</w:t>
      </w:r>
      <w:r>
        <w:rPr>
          <w:color w:val="000000" w:themeColor="text1"/>
        </w:rPr>
        <w:t xml:space="preserve">ского учёта для органов государственной власти (государственных органов), органов местного с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моуправления, органов управления государственными внебюджетными фондами, государстве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ных академий наук, государственных (муниципальных) учреждений, утверждённой приказом Минфина России от 01.12.2010 года №157н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2. нарушение ст.9 Федерального Закона от 06.12.2011 № 402-ФЗ « О бухгалтерском учете» при оприходовании наличных денежных средств в кассу от физического лица в приходных касс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вых ордерах в графе «Принято от» должно указываться Ф.И.О. физического лица, от которого приняты денежные средства. На протяжении всего проверяемого периода в ОГБУ «Редакция газ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ты «</w:t>
      </w:r>
      <w:r>
        <w:rPr>
          <w:color w:val="000000" w:themeColor="text1"/>
        </w:rPr>
        <w:t xml:space="preserve">Вохомская правда</w:t>
      </w:r>
      <w:r>
        <w:rPr>
          <w:color w:val="000000" w:themeColor="text1"/>
        </w:rPr>
        <w:t xml:space="preserve">» в вышеуказанной графе заполнено «население»;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3. </w:t>
      </w:r>
      <w:r>
        <w:rPr>
          <w:color w:val="000000" w:themeColor="text1"/>
        </w:rPr>
        <w:t xml:space="preserve">факты отсутствия приказов при направлении сотрудников учреждения в командиро</w:t>
      </w:r>
      <w:r>
        <w:rPr>
          <w:color w:val="000000" w:themeColor="text1"/>
        </w:rPr>
        <w:t xml:space="preserve">в</w:t>
      </w:r>
      <w:r>
        <w:rPr>
          <w:color w:val="000000" w:themeColor="text1"/>
        </w:rPr>
        <w:t xml:space="preserve">ку;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  <w:t xml:space="preserve">4. </w:t>
      </w:r>
      <w:r>
        <w:rPr>
          <w:color w:val="000000" w:themeColor="text1"/>
        </w:rPr>
        <w:t xml:space="preserve">нарушение п. 4 ст. 709 Гражданского кодекса РФ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5.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наруш</w:t>
      </w:r>
      <w:r>
        <w:rPr>
          <w:color w:val="000000" w:themeColor="text1"/>
        </w:rPr>
        <w:t xml:space="preserve">ения ст.9,10</w:t>
      </w:r>
      <w:r>
        <w:rPr>
          <w:color w:val="000000" w:themeColor="text1"/>
        </w:rPr>
        <w:t xml:space="preserve"> Федерального Закона от 06.12.2011 № 402-ФЗ « О бухгалтерском уч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те» </w:t>
      </w:r>
      <w:r>
        <w:rPr>
          <w:color w:val="000000" w:themeColor="text1"/>
        </w:rPr>
        <w:t xml:space="preserve">в части документального оформления </w:t>
      </w:r>
      <w:r>
        <w:rPr>
          <w:color w:val="000000" w:themeColor="text1"/>
        </w:rPr>
        <w:t xml:space="preserve">при расчетах с </w:t>
      </w:r>
      <w:r>
        <w:rPr>
          <w:color w:val="000000" w:themeColor="text1"/>
        </w:rPr>
        <w:t xml:space="preserve">дебиторами по дох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дам;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6. </w:t>
      </w:r>
      <w:r>
        <w:rPr>
          <w:color w:val="000000" w:themeColor="text1"/>
        </w:rPr>
        <w:t xml:space="preserve">ф</w:t>
      </w:r>
      <w:r>
        <w:rPr>
          <w:color w:val="000000" w:themeColor="text1"/>
        </w:rPr>
        <w:t xml:space="preserve">акты несоответствия данных, указанных в табеле рабочего времени</w:t>
      </w:r>
      <w:r>
        <w:rPr>
          <w:color w:val="000000" w:themeColor="text1"/>
        </w:rPr>
        <w:t xml:space="preserve"> и авансовых отчетах</w:t>
      </w:r>
      <w:r>
        <w:rPr>
          <w:color w:val="000000" w:themeColor="text1"/>
        </w:rPr>
        <w:t xml:space="preserve"> редакции;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</w:rPr>
        <w:t xml:space="preserve">7.</w:t>
      </w:r>
      <w:r>
        <w:rPr>
          <w:color w:val="000000" w:themeColor="text1"/>
        </w:rPr>
        <w:t xml:space="preserve">факты нарушения оплаты труда работника во время командировки;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  <w:highlight w:val="none"/>
        </w:rPr>
        <w:t xml:space="preserve">8.</w:t>
      </w:r>
      <w:r>
        <w:rPr>
          <w:color w:val="000000" w:themeColor="text1"/>
        </w:rPr>
        <w:t xml:space="preserve"> факты нарушения </w:t>
      </w:r>
      <w:r>
        <w:rPr>
          <w:color w:val="000000" w:themeColor="text1"/>
        </w:rPr>
        <w:t xml:space="preserve">выплаты</w:t>
      </w:r>
      <w:r>
        <w:rPr>
          <w:color w:val="000000" w:themeColor="text1"/>
        </w:rPr>
        <w:t xml:space="preserve"> суточных труда работника во время командировки;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  <w:highlight w:val="none"/>
        </w:rPr>
      </w:pPr>
      <w:r>
        <w:rPr>
          <w:color w:val="000000" w:themeColor="text1"/>
          <w:highlight w:val="none"/>
        </w:rPr>
        <w:t xml:space="preserve">9. </w:t>
      </w:r>
      <w:r>
        <w:rPr>
          <w:color w:val="000000" w:themeColor="text1"/>
        </w:rPr>
        <w:t xml:space="preserve">нарушения документального оформления первичных учетных докум</w:t>
      </w:r>
      <w:r>
        <w:rPr>
          <w:color w:val="000000" w:themeColor="text1"/>
        </w:rPr>
        <w:t xml:space="preserve">ентов (приказов об увольнении);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  <w:highlight w:val="none"/>
        </w:rPr>
        <w:t xml:space="preserve">10. </w:t>
      </w:r>
      <w:r>
        <w:rPr>
          <w:color w:val="000000" w:themeColor="text1"/>
        </w:rPr>
        <w:t xml:space="preserve">неправомерная выплата  редактору Селезневой Е.Н. (отсутствует приказ информационно - аналитического управления Костромской области) за работу в выходные и праздничные дни;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b w:val="false"/>
          <w:color w:val="000000"/>
          <w:highlight w:val="none"/>
        </w:rPr>
      </w:pPr>
      <w:r>
        <w:rPr>
          <w:color w:val="000000" w:themeColor="text1"/>
        </w:rPr>
        <w:t xml:space="preserve">11.</w:t>
      </w:r>
      <w:r>
        <w:rPr>
          <w:color w:val="000000" w:themeColor="text1"/>
        </w:rPr>
        <w:t xml:space="preserve"> </w:t>
      </w:r>
      <w:r>
        <w:rPr>
          <w:b w:val="false"/>
          <w:color w:val="000000" w:themeColor="text1"/>
        </w:rPr>
        <w:t xml:space="preserve">нарушение с. 153 Трудового кодекса РФ</w:t>
      </w:r>
      <w:r>
        <w:rPr>
          <w:b w:val="false"/>
          <w:color w:val="000000" w:themeColor="text1"/>
        </w:rPr>
        <w:t xml:space="preserve"> в части документального оформления для оплаты сотрудников учреждения в выходные и праздничные дни;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  <w:highlight w:val="none"/>
        </w:rPr>
      </w:pPr>
      <w:r>
        <w:rPr>
          <w:b w:val="false"/>
          <w:color w:val="000000" w:themeColor="text1"/>
          <w:highlight w:val="none"/>
        </w:rPr>
        <w:t xml:space="preserve">12. </w:t>
      </w:r>
      <w:r>
        <w:rPr>
          <w:color w:val="000000" w:themeColor="text1"/>
        </w:rPr>
        <w:t xml:space="preserve">неправомерная выплата редактору Селезневой Е.Н. гонорара из внебюджетных средств;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b w:val="false"/>
          <w:i w:val="false"/>
          <w:color w:val="000000"/>
          <w:highlight w:val="none"/>
        </w:rPr>
      </w:pPr>
      <w:r>
        <w:rPr>
          <w:color w:val="000000" w:themeColor="text1"/>
          <w:highlight w:val="none"/>
        </w:rPr>
        <w:t xml:space="preserve">13.</w:t>
      </w:r>
      <w:r>
        <w:rPr>
          <w:b w:val="false"/>
          <w:i w:val="false"/>
          <w:color w:val="000000" w:themeColor="text1"/>
          <w:highlight w:val="none"/>
        </w:rPr>
        <w:t xml:space="preserve"> нарушение в части документального оформления первичных документов при списании материальных запасов;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b w:val="false"/>
          <w:i w:val="false"/>
          <w:color w:val="000000" w:themeColor="text1"/>
          <w:highlight w:val="none"/>
        </w:rPr>
        <w:t xml:space="preserve">14. </w:t>
      </w:r>
      <w:r>
        <w:rPr>
          <w:b w:val="false"/>
          <w:i w:val="false"/>
          <w:color w:val="000000" w:themeColor="text1"/>
          <w:highlight w:val="none"/>
        </w:rPr>
        <w:t xml:space="preserve">приобретение ГСМ в количестве, превышающем технические характеристики транспортных средств.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Все замечания и нарушения, выявленные в ходе проверки учесть и устранить. На указанных участках </w:t>
      </w:r>
      <w:r>
        <w:rPr>
          <w:color w:val="000000" w:themeColor="text1"/>
        </w:rPr>
        <w:t xml:space="preserve">учета восстановить бухгалтерский учет в соответствии с требованиями законодательства Российской Федерации. Информацию по устраненным нарушениям и замечаниям представить в сектор экономики и финансов департамента информационной политики, анализа и развития коммуникационных ресурсов К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стромской области до </w:t>
      </w:r>
      <w:r>
        <w:rPr>
          <w:color w:val="000000" w:themeColor="text1"/>
        </w:rPr>
        <w:t xml:space="preserve">10 апреля 2021</w:t>
      </w:r>
      <w:r>
        <w:rPr>
          <w:color w:val="000000" w:themeColor="text1"/>
        </w:rPr>
        <w:t xml:space="preserve"> года.</w:t>
      </w:r>
      <w:r>
        <w:rPr>
          <w:color w:val="000000" w:themeColor="text1"/>
        </w:rPr>
      </w:r>
      <w:r/>
    </w:p>
    <w:p>
      <w:pPr>
        <w:pStyle w:val="644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jc w:val="both"/>
        <w:rPr>
          <w:color w:val="000000"/>
        </w:rPr>
      </w:pPr>
      <w:r>
        <w:rPr>
          <w:color w:val="000000" w:themeColor="text1"/>
        </w:rPr>
        <w:t xml:space="preserve">Директор департамента информационной                </w:t>
      </w:r>
      <w:r>
        <w:rPr>
          <w:color w:val="000000" w:themeColor="text1"/>
        </w:rPr>
        <w:t xml:space="preserve"> Р</w:t>
      </w:r>
      <w:r>
        <w:rPr>
          <w:color w:val="000000" w:themeColor="text1"/>
        </w:rPr>
        <w:t xml:space="preserve">едактор ОГБУ «Редакция газеты</w:t>
      </w:r>
      <w:r>
        <w:rPr>
          <w:color w:val="000000" w:themeColor="text1"/>
        </w:rPr>
      </w:r>
      <w:r/>
    </w:p>
    <w:p>
      <w:pPr>
        <w:pStyle w:val="644"/>
        <w:jc w:val="both"/>
        <w:rPr>
          <w:color w:val="000000"/>
        </w:rPr>
      </w:pPr>
      <w:r>
        <w:rPr>
          <w:color w:val="000000" w:themeColor="text1"/>
        </w:rPr>
        <w:t xml:space="preserve">политики, анализа и развития коммуникационных  «Вохомская правда</w:t>
      </w:r>
      <w:r>
        <w:rPr>
          <w:color w:val="000000" w:themeColor="text1"/>
        </w:rPr>
        <w:t xml:space="preserve">»</w:t>
      </w:r>
      <w:r>
        <w:rPr>
          <w:color w:val="000000" w:themeColor="text1"/>
        </w:rPr>
      </w:r>
      <w:r/>
    </w:p>
    <w:p>
      <w:pPr>
        <w:pStyle w:val="644"/>
        <w:jc w:val="both"/>
        <w:rPr>
          <w:color w:val="000000"/>
        </w:rPr>
      </w:pPr>
      <w:r>
        <w:rPr>
          <w:color w:val="000000" w:themeColor="text1"/>
        </w:rPr>
        <w:t xml:space="preserve">ресурсов Костромской области</w:t>
      </w:r>
      <w:r>
        <w:rPr>
          <w:color w:val="000000" w:themeColor="text1"/>
        </w:rPr>
      </w:r>
      <w:r/>
    </w:p>
    <w:p>
      <w:pPr>
        <w:pStyle w:val="644"/>
        <w:jc w:val="both"/>
        <w:rPr>
          <w:color w:val="000000"/>
        </w:rPr>
      </w:pPr>
      <w:r>
        <w:rPr>
          <w:color w:val="000000" w:themeColor="text1"/>
        </w:rPr>
        <w:t xml:space="preserve">И.В.Жабко                                                                      Е.Н</w:t>
      </w:r>
      <w:r>
        <w:rPr>
          <w:color w:val="000000" w:themeColor="text1"/>
        </w:rPr>
        <w:t xml:space="preserve">. </w:t>
      </w:r>
      <w:r>
        <w:rPr>
          <w:color w:val="000000" w:themeColor="text1"/>
        </w:rPr>
        <w:t xml:space="preserve">Селезнева</w:t>
      </w:r>
      <w:r>
        <w:rPr>
          <w:color w:val="000000" w:themeColor="text1"/>
        </w:rPr>
      </w:r>
      <w:r/>
    </w:p>
    <w:p>
      <w:pPr>
        <w:pStyle w:val="644"/>
        <w:jc w:val="both"/>
        <w:rPr>
          <w:color w:val="000000"/>
        </w:rPr>
      </w:pPr>
      <w:r>
        <w:rPr>
          <w:color w:val="000000" w:themeColor="text1"/>
        </w:rPr>
        <w:t xml:space="preserve">________________                                                         __________________</w:t>
      </w:r>
      <w:r>
        <w:rPr>
          <w:color w:val="000000" w:themeColor="text1"/>
        </w:rPr>
      </w:r>
      <w:r/>
    </w:p>
    <w:p>
      <w:pPr>
        <w:pStyle w:val="644"/>
        <w:ind w:firstLine="540"/>
        <w:jc w:val="both"/>
        <w:rPr>
          <w:color w:val="000000"/>
        </w:rPr>
      </w:pPr>
      <w:r>
        <w:rPr>
          <w:color w:val="000000" w:themeColor="text1"/>
        </w:rPr>
      </w:r>
      <w:r>
        <w:rPr>
          <w:color w:val="000000" w:themeColor="text1"/>
        </w:rPr>
      </w:r>
      <w:r/>
    </w:p>
    <w:p>
      <w:pPr>
        <w:pStyle w:val="644"/>
        <w:jc w:val="both"/>
        <w:rPr>
          <w:color w:val="000000"/>
        </w:rPr>
      </w:pPr>
      <w:r>
        <w:rPr>
          <w:color w:val="000000" w:themeColor="text1"/>
        </w:rPr>
        <w:t xml:space="preserve">Заведующий сектором                                                  Главный бухгалтер ОГБУ «Редакция газеты</w:t>
      </w:r>
      <w:r>
        <w:rPr>
          <w:color w:val="000000" w:themeColor="text1"/>
        </w:rPr>
      </w:r>
      <w:r/>
    </w:p>
    <w:p>
      <w:pPr>
        <w:pStyle w:val="644"/>
        <w:jc w:val="both"/>
        <w:rPr>
          <w:color w:val="000000"/>
        </w:rPr>
      </w:pPr>
      <w:r>
        <w:rPr>
          <w:color w:val="000000" w:themeColor="text1"/>
        </w:rPr>
        <w:t xml:space="preserve">экономики и финансов                                                 «</w:t>
      </w:r>
      <w:r>
        <w:rPr>
          <w:color w:val="000000" w:themeColor="text1"/>
        </w:rPr>
        <w:t xml:space="preserve">Вохомская правда</w:t>
      </w:r>
      <w:r>
        <w:rPr>
          <w:color w:val="000000" w:themeColor="text1"/>
        </w:rPr>
        <w:t xml:space="preserve">»            </w:t>
      </w:r>
      <w:r>
        <w:rPr>
          <w:color w:val="000000" w:themeColor="text1"/>
        </w:rPr>
      </w:r>
      <w:r/>
    </w:p>
    <w:p>
      <w:pPr>
        <w:pStyle w:val="644"/>
        <w:jc w:val="both"/>
        <w:rPr>
          <w:color w:val="000000"/>
        </w:rPr>
      </w:pPr>
      <w:r>
        <w:rPr>
          <w:color w:val="000000" w:themeColor="text1"/>
        </w:rPr>
        <w:t xml:space="preserve">- главный бухгалтер</w:t>
      </w:r>
      <w:r>
        <w:rPr>
          <w:color w:val="000000" w:themeColor="text1"/>
        </w:rPr>
      </w:r>
      <w:r/>
    </w:p>
    <w:p>
      <w:pPr>
        <w:pStyle w:val="644"/>
        <w:jc w:val="both"/>
        <w:rPr>
          <w:color w:val="000000"/>
        </w:rPr>
      </w:pPr>
      <w:r>
        <w:rPr>
          <w:color w:val="000000" w:themeColor="text1"/>
        </w:rPr>
        <w:t xml:space="preserve">Н.Н. Попрядухина                                                         Е.М. Гончарова</w:t>
      </w:r>
      <w:r>
        <w:rPr>
          <w:color w:val="000000" w:themeColor="text1"/>
        </w:rPr>
      </w:r>
      <w:r/>
    </w:p>
    <w:p>
      <w:pPr>
        <w:pStyle w:val="644"/>
        <w:jc w:val="both"/>
        <w:rPr>
          <w:color w:val="000000"/>
        </w:rPr>
      </w:pPr>
      <w:r>
        <w:rPr>
          <w:color w:val="000000" w:themeColor="text1"/>
        </w:rPr>
        <w:t xml:space="preserve">________________                                                        ________________</w:t>
      </w:r>
      <w:r>
        <w:rPr>
          <w:color w:val="000000" w:themeColor="text1"/>
        </w:rPr>
      </w:r>
      <w:r/>
    </w:p>
    <w:p>
      <w:pPr>
        <w:pStyle w:val="644"/>
        <w:jc w:val="both"/>
        <w:rPr>
          <w:color w:val="000000"/>
        </w:rPr>
      </w:pPr>
      <w:r>
        <w:rPr>
          <w:color w:val="000000" w:themeColor="text1"/>
        </w:rPr>
        <w:t xml:space="preserve">Консультант сектора экономики и финансов</w:t>
      </w:r>
      <w:r>
        <w:rPr>
          <w:color w:val="000000" w:themeColor="text1"/>
        </w:rPr>
      </w:r>
      <w:r/>
    </w:p>
    <w:p>
      <w:pPr>
        <w:pStyle w:val="644"/>
        <w:jc w:val="both"/>
        <w:rPr>
          <w:color w:val="000000"/>
        </w:rPr>
      </w:pPr>
      <w:r>
        <w:rPr>
          <w:color w:val="000000" w:themeColor="text1"/>
        </w:rPr>
        <w:t xml:space="preserve">С.В. Колчанова </w:t>
      </w:r>
      <w:r>
        <w:rPr>
          <w:color w:val="000000" w:themeColor="text1"/>
        </w:rPr>
      </w:r>
      <w:r/>
    </w:p>
    <w:p>
      <w:pPr>
        <w:pStyle w:val="644"/>
        <w:jc w:val="both"/>
        <w:rPr>
          <w:color w:val="000000"/>
        </w:rPr>
      </w:pPr>
      <w:r>
        <w:rPr>
          <w:color w:val="000000" w:themeColor="text1"/>
        </w:rPr>
        <w:t xml:space="preserve">__________________</w:t>
      </w:r>
      <w:r>
        <w:rPr>
          <w:color w:val="000000" w:themeColor="text1"/>
        </w:rPr>
      </w:r>
      <w:r/>
    </w:p>
    <w:sectPr>
      <w:footnotePr/>
      <w:endnotePr/>
      <w:type w:val="nextPage"/>
      <w:pgSz w:w="11906" w:h="16838" w:orient="portrait"/>
      <w:pgMar w:top="405" w:right="851" w:bottom="426" w:left="85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Tahoma">
    <w:panose1 w:val="020B0604030504040204"/>
  </w:font>
  <w:font w:name="Courier New">
    <w:panose1 w:val="02070309020205020404"/>
  </w:font>
  <w:font w:name="OpenSymbol">
    <w:panose1 w:val="05050102010706020507"/>
  </w:font>
  <w:font w:name="Symbol">
    <w:panose1 w:val="05050102010706020507"/>
  </w:font>
  <w:font w:name="Arial">
    <w:panose1 w:val="020B0604020202020204"/>
  </w:font>
  <w:font w:name="Microsoft YaHei">
    <w:panose1 w:val="020B0503020204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644"/>
        <w:ind w:left="720" w:hanging="360"/>
        <w:tabs>
          <w:tab w:val="num" w:pos="720" w:leader="none"/>
        </w:tabs>
      </w:pPr>
      <w:rPr>
        <w:rFonts w:ascii="Symbol" w:hAnsi="Symbol"/>
        <w:color w:val="0000FF"/>
      </w:rPr>
    </w:lvl>
    <w:lvl w:ilvl="1">
      <w:start w:val="1"/>
      <w:numFmt w:val="bullet"/>
      <w:isLgl w:val="false"/>
      <w:suff w:val="tab"/>
      <w:lvlText w:val=""/>
      <w:lvlJc w:val="left"/>
      <w:pPr>
        <w:pStyle w:val="644"/>
        <w:ind w:left="1080" w:hanging="360"/>
        <w:tabs>
          <w:tab w:val="num" w:pos="1080" w:leader="none"/>
        </w:tabs>
      </w:pPr>
      <w:rPr>
        <w:rFonts w:ascii="Symbol" w:hAnsi="Symbol"/>
        <w:color w:val="0000FF"/>
      </w:rPr>
    </w:lvl>
    <w:lvl w:ilvl="2">
      <w:start w:val="1"/>
      <w:numFmt w:val="bullet"/>
      <w:isLgl w:val="false"/>
      <w:suff w:val="tab"/>
      <w:lvlText w:val=""/>
      <w:lvlJc w:val="left"/>
      <w:pPr>
        <w:pStyle w:val="644"/>
        <w:ind w:left="1440" w:hanging="360"/>
        <w:tabs>
          <w:tab w:val="num" w:pos="1440" w:leader="none"/>
        </w:tabs>
      </w:pPr>
      <w:rPr>
        <w:rFonts w:ascii="Symbol" w:hAnsi="Symbol"/>
        <w:color w:val="0000FF"/>
      </w:rPr>
    </w:lvl>
    <w:lvl w:ilvl="3">
      <w:start w:val="1"/>
      <w:numFmt w:val="bullet"/>
      <w:isLgl w:val="false"/>
      <w:suff w:val="tab"/>
      <w:lvlText w:val=""/>
      <w:lvlJc w:val="left"/>
      <w:pPr>
        <w:pStyle w:val="644"/>
        <w:ind w:left="1800" w:hanging="360"/>
        <w:tabs>
          <w:tab w:val="num" w:pos="1800" w:leader="none"/>
        </w:tabs>
      </w:pPr>
      <w:rPr>
        <w:rFonts w:ascii="Symbol" w:hAnsi="Symbol"/>
        <w:color w:val="0000FF"/>
      </w:rPr>
    </w:lvl>
    <w:lvl w:ilvl="4">
      <w:start w:val="1"/>
      <w:numFmt w:val="bullet"/>
      <w:isLgl w:val="false"/>
      <w:suff w:val="tab"/>
      <w:lvlText w:val=""/>
      <w:lvlJc w:val="left"/>
      <w:pPr>
        <w:pStyle w:val="644"/>
        <w:ind w:left="2160" w:hanging="360"/>
        <w:tabs>
          <w:tab w:val="num" w:pos="2160" w:leader="none"/>
        </w:tabs>
      </w:pPr>
      <w:rPr>
        <w:rFonts w:ascii="Symbol" w:hAnsi="Symbol"/>
        <w:color w:val="0000FF"/>
      </w:rPr>
    </w:lvl>
    <w:lvl w:ilvl="5">
      <w:start w:val="1"/>
      <w:numFmt w:val="bullet"/>
      <w:isLgl w:val="false"/>
      <w:suff w:val="tab"/>
      <w:lvlText w:val=""/>
      <w:lvlJc w:val="left"/>
      <w:pPr>
        <w:pStyle w:val="644"/>
        <w:ind w:left="2520" w:hanging="360"/>
        <w:tabs>
          <w:tab w:val="num" w:pos="2520" w:leader="none"/>
        </w:tabs>
      </w:pPr>
      <w:rPr>
        <w:rFonts w:ascii="Symbol" w:hAnsi="Symbol"/>
        <w:color w:val="0000FF"/>
      </w:rPr>
    </w:lvl>
    <w:lvl w:ilvl="6">
      <w:start w:val="1"/>
      <w:numFmt w:val="bullet"/>
      <w:isLgl w:val="false"/>
      <w:suff w:val="tab"/>
      <w:lvlText w:val=""/>
      <w:lvlJc w:val="left"/>
      <w:pPr>
        <w:pStyle w:val="644"/>
        <w:ind w:left="2880" w:hanging="360"/>
        <w:tabs>
          <w:tab w:val="num" w:pos="2880" w:leader="none"/>
        </w:tabs>
      </w:pPr>
      <w:rPr>
        <w:rFonts w:ascii="Symbol" w:hAnsi="Symbol"/>
        <w:color w:val="0000FF"/>
      </w:rPr>
    </w:lvl>
    <w:lvl w:ilvl="7">
      <w:start w:val="1"/>
      <w:numFmt w:val="bullet"/>
      <w:isLgl w:val="false"/>
      <w:suff w:val="tab"/>
      <w:lvlText w:val=""/>
      <w:lvlJc w:val="left"/>
      <w:pPr>
        <w:pStyle w:val="644"/>
        <w:ind w:left="3240" w:hanging="360"/>
        <w:tabs>
          <w:tab w:val="num" w:pos="3240" w:leader="none"/>
        </w:tabs>
      </w:pPr>
      <w:rPr>
        <w:rFonts w:ascii="Symbol" w:hAnsi="Symbol"/>
        <w:color w:val="0000FF"/>
      </w:rPr>
    </w:lvl>
    <w:lvl w:ilvl="8">
      <w:start w:val="1"/>
      <w:numFmt w:val="bullet"/>
      <w:isLgl w:val="false"/>
      <w:suff w:val="tab"/>
      <w:lvlText w:val=""/>
      <w:lvlJc w:val="left"/>
      <w:pPr>
        <w:pStyle w:val="644"/>
        <w:ind w:left="3600" w:hanging="360"/>
        <w:tabs>
          <w:tab w:val="num" w:pos="3600" w:leader="none"/>
        </w:tabs>
      </w:pPr>
      <w:rPr>
        <w:rFonts w:ascii="Symbol" w:hAnsi="Symbol"/>
        <w:color w:val="0000FF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644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644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644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644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644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644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644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644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644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644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644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644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644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644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644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644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644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644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644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644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644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644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644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644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644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644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644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4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pStyle w:val="644"/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pStyle w:val="644"/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pStyle w:val="644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pStyle w:val="644"/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pStyle w:val="644"/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pStyle w:val="644"/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pStyle w:val="644"/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pStyle w:val="644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pStyle w:val="644"/>
        <w:ind w:left="1584" w:hanging="1584"/>
        <w:tabs>
          <w:tab w:val="num" w:pos="1584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44"/>
        <w:ind w:left="1260" w:hanging="360"/>
        <w:tabs>
          <w:tab w:val="num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44"/>
        <w:ind w:left="1980" w:hanging="360"/>
        <w:tabs>
          <w:tab w:val="num" w:pos="19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44"/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44"/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44"/>
        <w:ind w:left="4140" w:hanging="360"/>
        <w:tabs>
          <w:tab w:val="num" w:pos="41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44"/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44"/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44"/>
        <w:ind w:left="6300" w:hanging="360"/>
        <w:tabs>
          <w:tab w:val="num" w:pos="63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44"/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44"/>
        <w:ind w:left="1260" w:hanging="360"/>
        <w:tabs>
          <w:tab w:val="left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44"/>
        <w:ind w:left="1980" w:hanging="360"/>
        <w:tabs>
          <w:tab w:val="left" w:pos="19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44"/>
        <w:ind w:left="2700" w:hanging="360"/>
        <w:tabs>
          <w:tab w:val="left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44"/>
        <w:ind w:left="3420" w:hanging="360"/>
        <w:tabs>
          <w:tab w:val="left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44"/>
        <w:ind w:left="4140" w:hanging="360"/>
        <w:tabs>
          <w:tab w:val="left" w:pos="41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44"/>
        <w:ind w:left="4860" w:hanging="360"/>
        <w:tabs>
          <w:tab w:val="left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44"/>
        <w:ind w:left="5580" w:hanging="360"/>
        <w:tabs>
          <w:tab w:val="left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44"/>
        <w:ind w:left="6300" w:hanging="360"/>
        <w:tabs>
          <w:tab w:val="left" w:pos="63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44"/>
        <w:ind w:left="7020" w:hanging="360"/>
        <w:tabs>
          <w:tab w:val="left" w:pos="7020" w:leader="none"/>
        </w:tabs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67">
    <w:name w:val="Heading 1"/>
    <w:link w:val="468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68">
    <w:name w:val="Heading 1 Char"/>
    <w:link w:val="467"/>
    <w:uiPriority w:val="9"/>
    <w:rPr>
      <w:rFonts w:ascii="Arial" w:hAnsi="Arial" w:cs="Arial" w:eastAsia="Arial"/>
      <w:sz w:val="40"/>
      <w:szCs w:val="40"/>
    </w:rPr>
  </w:style>
  <w:style w:type="paragraph" w:styleId="469">
    <w:name w:val="Heading 2"/>
    <w:link w:val="470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70">
    <w:name w:val="Heading 2 Char"/>
    <w:link w:val="469"/>
    <w:uiPriority w:val="9"/>
    <w:rPr>
      <w:rFonts w:ascii="Arial" w:hAnsi="Arial" w:cs="Arial" w:eastAsia="Arial"/>
      <w:sz w:val="34"/>
    </w:rPr>
  </w:style>
  <w:style w:type="paragraph" w:styleId="471">
    <w:name w:val="Heading 3"/>
    <w:link w:val="472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72">
    <w:name w:val="Heading 3 Char"/>
    <w:link w:val="471"/>
    <w:uiPriority w:val="9"/>
    <w:rPr>
      <w:rFonts w:ascii="Arial" w:hAnsi="Arial" w:cs="Arial" w:eastAsia="Arial"/>
      <w:sz w:val="30"/>
      <w:szCs w:val="30"/>
    </w:rPr>
  </w:style>
  <w:style w:type="paragraph" w:styleId="473">
    <w:name w:val="Heading 4"/>
    <w:link w:val="474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74">
    <w:name w:val="Heading 4 Char"/>
    <w:link w:val="473"/>
    <w:uiPriority w:val="9"/>
    <w:rPr>
      <w:rFonts w:ascii="Arial" w:hAnsi="Arial" w:cs="Arial" w:eastAsia="Arial"/>
      <w:b/>
      <w:bCs/>
      <w:sz w:val="26"/>
      <w:szCs w:val="26"/>
    </w:rPr>
  </w:style>
  <w:style w:type="paragraph" w:styleId="475">
    <w:name w:val="Heading 5"/>
    <w:link w:val="476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76">
    <w:name w:val="Heading 5 Char"/>
    <w:link w:val="475"/>
    <w:uiPriority w:val="9"/>
    <w:rPr>
      <w:rFonts w:ascii="Arial" w:hAnsi="Arial" w:cs="Arial" w:eastAsia="Arial"/>
      <w:b/>
      <w:bCs/>
      <w:sz w:val="24"/>
      <w:szCs w:val="24"/>
    </w:rPr>
  </w:style>
  <w:style w:type="paragraph" w:styleId="477">
    <w:name w:val="Heading 6"/>
    <w:link w:val="478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78">
    <w:name w:val="Heading 6 Char"/>
    <w:link w:val="477"/>
    <w:uiPriority w:val="9"/>
    <w:rPr>
      <w:rFonts w:ascii="Arial" w:hAnsi="Arial" w:cs="Arial" w:eastAsia="Arial"/>
      <w:b/>
      <w:bCs/>
      <w:sz w:val="22"/>
      <w:szCs w:val="22"/>
    </w:rPr>
  </w:style>
  <w:style w:type="paragraph" w:styleId="479">
    <w:name w:val="Heading 7"/>
    <w:link w:val="480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80">
    <w:name w:val="Heading 7 Char"/>
    <w:link w:val="479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81">
    <w:name w:val="Heading 8"/>
    <w:link w:val="482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82">
    <w:name w:val="Heading 8 Char"/>
    <w:link w:val="481"/>
    <w:uiPriority w:val="9"/>
    <w:rPr>
      <w:rFonts w:ascii="Arial" w:hAnsi="Arial" w:cs="Arial" w:eastAsia="Arial"/>
      <w:i/>
      <w:iCs/>
      <w:sz w:val="22"/>
      <w:szCs w:val="22"/>
    </w:rPr>
  </w:style>
  <w:style w:type="paragraph" w:styleId="483">
    <w:name w:val="Heading 9"/>
    <w:link w:val="484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84">
    <w:name w:val="Heading 9 Char"/>
    <w:link w:val="483"/>
    <w:uiPriority w:val="9"/>
    <w:rPr>
      <w:rFonts w:ascii="Arial" w:hAnsi="Arial" w:cs="Arial" w:eastAsia="Arial"/>
      <w:i/>
      <w:iCs/>
      <w:sz w:val="21"/>
      <w:szCs w:val="21"/>
    </w:rPr>
  </w:style>
  <w:style w:type="paragraph" w:styleId="485">
    <w:name w:val="List Paragraph"/>
    <w:qFormat/>
    <w:uiPriority w:val="34"/>
    <w:pPr>
      <w:contextualSpacing w:val="true"/>
      <w:ind w:left="720"/>
    </w:pPr>
  </w:style>
  <w:style w:type="paragraph" w:styleId="486">
    <w:name w:val="No Spacing"/>
    <w:qFormat/>
    <w:uiPriority w:val="1"/>
    <w:pPr>
      <w:spacing w:lineRule="auto" w:line="240" w:after="0" w:before="0"/>
    </w:pPr>
  </w:style>
  <w:style w:type="paragraph" w:styleId="487">
    <w:name w:val="Title"/>
    <w:link w:val="488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488">
    <w:name w:val="Title Char"/>
    <w:link w:val="487"/>
    <w:uiPriority w:val="10"/>
    <w:rPr>
      <w:sz w:val="48"/>
      <w:szCs w:val="48"/>
    </w:rPr>
  </w:style>
  <w:style w:type="paragraph" w:styleId="489">
    <w:name w:val="Subtitle"/>
    <w:link w:val="490"/>
    <w:qFormat/>
    <w:uiPriority w:val="11"/>
    <w:rPr>
      <w:sz w:val="24"/>
      <w:szCs w:val="24"/>
    </w:rPr>
    <w:pPr>
      <w:spacing w:after="200" w:before="200"/>
    </w:pPr>
  </w:style>
  <w:style w:type="character" w:styleId="490">
    <w:name w:val="Subtitle Char"/>
    <w:link w:val="489"/>
    <w:uiPriority w:val="11"/>
    <w:rPr>
      <w:sz w:val="24"/>
      <w:szCs w:val="24"/>
    </w:rPr>
  </w:style>
  <w:style w:type="paragraph" w:styleId="491">
    <w:name w:val="Quote"/>
    <w:link w:val="492"/>
    <w:qFormat/>
    <w:uiPriority w:val="29"/>
    <w:rPr>
      <w:i/>
    </w:rPr>
    <w:pPr>
      <w:ind w:left="720" w:right="720"/>
    </w:pPr>
  </w:style>
  <w:style w:type="character" w:styleId="492">
    <w:name w:val="Quote Char"/>
    <w:link w:val="491"/>
    <w:uiPriority w:val="29"/>
    <w:rPr>
      <w:i/>
    </w:rPr>
  </w:style>
  <w:style w:type="paragraph" w:styleId="493">
    <w:name w:val="Intense Quote"/>
    <w:link w:val="494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494">
    <w:name w:val="Intense Quote Char"/>
    <w:link w:val="493"/>
    <w:uiPriority w:val="30"/>
    <w:rPr>
      <w:i/>
    </w:rPr>
  </w:style>
  <w:style w:type="paragraph" w:styleId="495">
    <w:name w:val="Header"/>
    <w:link w:val="496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6">
    <w:name w:val="Header Char"/>
    <w:link w:val="495"/>
    <w:uiPriority w:val="99"/>
  </w:style>
  <w:style w:type="paragraph" w:styleId="497">
    <w:name w:val="Footer"/>
    <w:link w:val="500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8">
    <w:name w:val="Footer Char"/>
    <w:link w:val="497"/>
    <w:uiPriority w:val="99"/>
  </w:style>
  <w:style w:type="paragraph" w:styleId="499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500">
    <w:name w:val="Caption Char"/>
    <w:basedOn w:val="499"/>
    <w:link w:val="497"/>
    <w:uiPriority w:val="99"/>
  </w:style>
  <w:style w:type="table" w:styleId="501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2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3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4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5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06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7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08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9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0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1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2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3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4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5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16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17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18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19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20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21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22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3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4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5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6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7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8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9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30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531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532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533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534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535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536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537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538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539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540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541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542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543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544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545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546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547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548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49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0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51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52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53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54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55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56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57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58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59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60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61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62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63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64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565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566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67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68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69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70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71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2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3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4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5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6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7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8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9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0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1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2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3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4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5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6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7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8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9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0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1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2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593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594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595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596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597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598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599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600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601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602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603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604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605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606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07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08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09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0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1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12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13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14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15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6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7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8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19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20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621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622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623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624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625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626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627">
    <w:name w:val="Hyperlink"/>
    <w:uiPriority w:val="99"/>
    <w:unhideWhenUsed/>
    <w:rPr>
      <w:color w:val="0000FF" w:themeColor="hyperlink"/>
      <w:u w:val="single"/>
    </w:rPr>
  </w:style>
  <w:style w:type="paragraph" w:styleId="628">
    <w:name w:val="footnote text"/>
    <w:link w:val="629"/>
    <w:uiPriority w:val="99"/>
    <w:semiHidden/>
    <w:unhideWhenUsed/>
    <w:rPr>
      <w:sz w:val="18"/>
    </w:rPr>
    <w:pPr>
      <w:spacing w:lineRule="auto" w:line="240" w:after="40"/>
    </w:pPr>
  </w:style>
  <w:style w:type="character" w:styleId="629">
    <w:name w:val="Footnote Text Char"/>
    <w:link w:val="628"/>
    <w:uiPriority w:val="99"/>
    <w:rPr>
      <w:sz w:val="18"/>
    </w:rPr>
  </w:style>
  <w:style w:type="character" w:styleId="630">
    <w:name w:val="footnote reference"/>
    <w:uiPriority w:val="99"/>
    <w:unhideWhenUsed/>
    <w:rPr>
      <w:vertAlign w:val="superscript"/>
    </w:rPr>
  </w:style>
  <w:style w:type="paragraph" w:styleId="631">
    <w:name w:val="endnote text"/>
    <w:link w:val="632"/>
    <w:uiPriority w:val="99"/>
    <w:semiHidden/>
    <w:unhideWhenUsed/>
    <w:rPr>
      <w:sz w:val="20"/>
    </w:rPr>
    <w:pPr>
      <w:spacing w:lineRule="auto" w:line="240" w:after="0"/>
    </w:pPr>
  </w:style>
  <w:style w:type="character" w:styleId="632">
    <w:name w:val="Endnote Text Char"/>
    <w:link w:val="631"/>
    <w:uiPriority w:val="99"/>
    <w:rPr>
      <w:sz w:val="20"/>
    </w:rPr>
  </w:style>
  <w:style w:type="character" w:styleId="633">
    <w:name w:val="endnote reference"/>
    <w:uiPriority w:val="99"/>
    <w:semiHidden/>
    <w:unhideWhenUsed/>
    <w:rPr>
      <w:vertAlign w:val="superscript"/>
    </w:rPr>
  </w:style>
  <w:style w:type="paragraph" w:styleId="634">
    <w:name w:val="toc 1"/>
    <w:uiPriority w:val="39"/>
    <w:unhideWhenUsed/>
    <w:pPr>
      <w:ind w:left="0" w:right="0" w:firstLine="0"/>
      <w:spacing w:after="57"/>
    </w:pPr>
  </w:style>
  <w:style w:type="paragraph" w:styleId="635">
    <w:name w:val="toc 2"/>
    <w:uiPriority w:val="39"/>
    <w:unhideWhenUsed/>
    <w:pPr>
      <w:ind w:left="283" w:right="0" w:firstLine="0"/>
      <w:spacing w:after="57"/>
    </w:pPr>
  </w:style>
  <w:style w:type="paragraph" w:styleId="636">
    <w:name w:val="toc 3"/>
    <w:uiPriority w:val="39"/>
    <w:unhideWhenUsed/>
    <w:pPr>
      <w:ind w:left="567" w:right="0" w:firstLine="0"/>
      <w:spacing w:after="57"/>
    </w:pPr>
  </w:style>
  <w:style w:type="paragraph" w:styleId="637">
    <w:name w:val="toc 4"/>
    <w:uiPriority w:val="39"/>
    <w:unhideWhenUsed/>
    <w:pPr>
      <w:ind w:left="850" w:right="0" w:firstLine="0"/>
      <w:spacing w:after="57"/>
    </w:pPr>
  </w:style>
  <w:style w:type="paragraph" w:styleId="638">
    <w:name w:val="toc 5"/>
    <w:uiPriority w:val="39"/>
    <w:unhideWhenUsed/>
    <w:pPr>
      <w:ind w:left="1134" w:right="0" w:firstLine="0"/>
      <w:spacing w:after="57"/>
    </w:pPr>
  </w:style>
  <w:style w:type="paragraph" w:styleId="639">
    <w:name w:val="toc 6"/>
    <w:uiPriority w:val="39"/>
    <w:unhideWhenUsed/>
    <w:pPr>
      <w:ind w:left="1417" w:right="0" w:firstLine="0"/>
      <w:spacing w:after="57"/>
    </w:pPr>
  </w:style>
  <w:style w:type="paragraph" w:styleId="640">
    <w:name w:val="toc 7"/>
    <w:uiPriority w:val="39"/>
    <w:unhideWhenUsed/>
    <w:pPr>
      <w:ind w:left="1701" w:right="0" w:firstLine="0"/>
      <w:spacing w:after="57"/>
    </w:pPr>
  </w:style>
  <w:style w:type="paragraph" w:styleId="641">
    <w:name w:val="toc 8"/>
    <w:uiPriority w:val="39"/>
    <w:unhideWhenUsed/>
    <w:pPr>
      <w:ind w:left="1984" w:right="0" w:firstLine="0"/>
      <w:spacing w:after="57"/>
    </w:pPr>
  </w:style>
  <w:style w:type="paragraph" w:styleId="642">
    <w:name w:val="toc 9"/>
    <w:uiPriority w:val="39"/>
    <w:unhideWhenUsed/>
    <w:pPr>
      <w:ind w:left="2268" w:right="0" w:firstLine="0"/>
      <w:spacing w:after="57"/>
    </w:pPr>
  </w:style>
  <w:style w:type="paragraph" w:styleId="643">
    <w:name w:val="TOC Heading"/>
    <w:uiPriority w:val="39"/>
    <w:unhideWhenUsed/>
  </w:style>
  <w:style w:type="paragraph" w:styleId="644">
    <w:name w:val="Обычный"/>
    <w:next w:val="644"/>
    <w:link w:val="644"/>
    <w:rPr>
      <w:rFonts w:ascii="Times New Roman" w:hAnsi="Times New Roman" w:eastAsia="Times New Roman"/>
      <w:color w:val="auto"/>
      <w:sz w:val="24"/>
      <w:szCs w:val="24"/>
      <w:lang w:val="ru-RU" w:bidi="ar-SA" w:eastAsia="ar-SA"/>
    </w:rPr>
    <w:pPr>
      <w:widowControl/>
    </w:pPr>
  </w:style>
  <w:style w:type="character" w:styleId="645">
    <w:name w:val="Основной шрифт абзаца"/>
    <w:next w:val="645"/>
    <w:link w:val="644"/>
    <w:semiHidden/>
  </w:style>
  <w:style w:type="table" w:styleId="646">
    <w:name w:val="Обычная таблица"/>
    <w:next w:val="646"/>
    <w:link w:val="644"/>
    <w:semiHidden/>
    <w:tblPr/>
  </w:style>
  <w:style w:type="numbering" w:styleId="647">
    <w:name w:val="Нет списка"/>
    <w:next w:val="647"/>
    <w:link w:val="644"/>
    <w:semiHidden/>
  </w:style>
  <w:style w:type="character" w:styleId="648">
    <w:name w:val="WW8Num1z0"/>
    <w:next w:val="648"/>
    <w:link w:val="644"/>
    <w:rPr>
      <w:rFonts w:ascii="Symbol" w:hAnsi="Symbol"/>
      <w:color w:val="0000FF"/>
    </w:rPr>
  </w:style>
  <w:style w:type="character" w:styleId="649">
    <w:name w:val="WW8Num2z0"/>
    <w:next w:val="649"/>
    <w:link w:val="644"/>
  </w:style>
  <w:style w:type="character" w:styleId="650">
    <w:name w:val="WW8Num3z0"/>
    <w:next w:val="650"/>
    <w:link w:val="644"/>
  </w:style>
  <w:style w:type="character" w:styleId="651">
    <w:name w:val="WW8Num4z0"/>
    <w:next w:val="651"/>
    <w:link w:val="644"/>
  </w:style>
  <w:style w:type="character" w:styleId="652">
    <w:name w:val="WW8Num4z1"/>
    <w:next w:val="652"/>
    <w:link w:val="644"/>
  </w:style>
  <w:style w:type="character" w:styleId="653">
    <w:name w:val="WW8Num4z2"/>
    <w:next w:val="653"/>
    <w:link w:val="644"/>
  </w:style>
  <w:style w:type="character" w:styleId="654">
    <w:name w:val="WW8Num4z3"/>
    <w:next w:val="654"/>
    <w:link w:val="644"/>
  </w:style>
  <w:style w:type="character" w:styleId="655">
    <w:name w:val="WW8Num4z4"/>
    <w:next w:val="655"/>
    <w:link w:val="644"/>
  </w:style>
  <w:style w:type="character" w:styleId="656">
    <w:name w:val="WW8Num4z5"/>
    <w:next w:val="656"/>
    <w:link w:val="644"/>
  </w:style>
  <w:style w:type="character" w:styleId="657">
    <w:name w:val="WW8Num4z6"/>
    <w:next w:val="657"/>
    <w:link w:val="644"/>
  </w:style>
  <w:style w:type="character" w:styleId="658">
    <w:name w:val="WW8Num4z7"/>
    <w:next w:val="658"/>
    <w:link w:val="644"/>
  </w:style>
  <w:style w:type="character" w:styleId="659">
    <w:name w:val="WW8Num4z8"/>
    <w:next w:val="659"/>
    <w:link w:val="644"/>
  </w:style>
  <w:style w:type="character" w:styleId="660">
    <w:name w:val="Основной шрифт абзаца5"/>
    <w:next w:val="660"/>
    <w:link w:val="644"/>
  </w:style>
  <w:style w:type="character" w:styleId="661">
    <w:name w:val="WW8Num5z0"/>
    <w:next w:val="661"/>
    <w:link w:val="644"/>
  </w:style>
  <w:style w:type="character" w:styleId="662">
    <w:name w:val="WW8Num5z1"/>
    <w:next w:val="662"/>
    <w:link w:val="644"/>
  </w:style>
  <w:style w:type="character" w:styleId="663">
    <w:name w:val="WW8Num5z2"/>
    <w:next w:val="663"/>
    <w:link w:val="644"/>
  </w:style>
  <w:style w:type="character" w:styleId="664">
    <w:name w:val="WW8Num5z3"/>
    <w:next w:val="664"/>
    <w:link w:val="644"/>
  </w:style>
  <w:style w:type="character" w:styleId="665">
    <w:name w:val="WW8Num5z4"/>
    <w:next w:val="665"/>
    <w:link w:val="644"/>
  </w:style>
  <w:style w:type="character" w:styleId="666">
    <w:name w:val="WW8Num5z5"/>
    <w:next w:val="666"/>
    <w:link w:val="644"/>
  </w:style>
  <w:style w:type="character" w:styleId="667">
    <w:name w:val="WW8Num5z6"/>
    <w:next w:val="667"/>
    <w:link w:val="644"/>
  </w:style>
  <w:style w:type="character" w:styleId="668">
    <w:name w:val="WW8Num5z7"/>
    <w:next w:val="668"/>
    <w:link w:val="644"/>
  </w:style>
  <w:style w:type="character" w:styleId="669">
    <w:name w:val="WW8Num5z8"/>
    <w:next w:val="669"/>
    <w:link w:val="644"/>
  </w:style>
  <w:style w:type="character" w:styleId="670">
    <w:name w:val="WW8Num6z0"/>
    <w:next w:val="670"/>
    <w:link w:val="644"/>
  </w:style>
  <w:style w:type="character" w:styleId="671">
    <w:name w:val="WW8Num6z1"/>
    <w:next w:val="671"/>
    <w:link w:val="644"/>
  </w:style>
  <w:style w:type="character" w:styleId="672">
    <w:name w:val="WW8Num6z2"/>
    <w:next w:val="672"/>
    <w:link w:val="644"/>
  </w:style>
  <w:style w:type="character" w:styleId="673">
    <w:name w:val="WW8Num7z0"/>
    <w:next w:val="673"/>
    <w:link w:val="644"/>
  </w:style>
  <w:style w:type="character" w:styleId="674">
    <w:name w:val="WW8Num7z1"/>
    <w:next w:val="674"/>
    <w:link w:val="644"/>
  </w:style>
  <w:style w:type="character" w:styleId="675">
    <w:name w:val="WW8Num7z2"/>
    <w:next w:val="675"/>
    <w:link w:val="644"/>
  </w:style>
  <w:style w:type="character" w:styleId="676">
    <w:name w:val="Основной шрифт абзаца4"/>
    <w:next w:val="676"/>
    <w:link w:val="644"/>
  </w:style>
  <w:style w:type="character" w:styleId="677">
    <w:name w:val="WW8Num6z3"/>
    <w:next w:val="677"/>
    <w:link w:val="644"/>
  </w:style>
  <w:style w:type="character" w:styleId="678">
    <w:name w:val="WW8Num6z4"/>
    <w:next w:val="678"/>
    <w:link w:val="644"/>
  </w:style>
  <w:style w:type="character" w:styleId="679">
    <w:name w:val="WW8Num6z5"/>
    <w:next w:val="679"/>
    <w:link w:val="644"/>
  </w:style>
  <w:style w:type="character" w:styleId="680">
    <w:name w:val="WW8Num6z6"/>
    <w:next w:val="680"/>
    <w:link w:val="644"/>
  </w:style>
  <w:style w:type="character" w:styleId="681">
    <w:name w:val="WW8Num6z7"/>
    <w:next w:val="681"/>
    <w:link w:val="644"/>
  </w:style>
  <w:style w:type="character" w:styleId="682">
    <w:name w:val="WW8Num6z8"/>
    <w:next w:val="682"/>
    <w:link w:val="644"/>
  </w:style>
  <w:style w:type="character" w:styleId="683">
    <w:name w:val="Основной шрифт абзаца3"/>
    <w:next w:val="683"/>
    <w:link w:val="644"/>
  </w:style>
  <w:style w:type="character" w:styleId="684">
    <w:name w:val="WW8Num2z1"/>
    <w:next w:val="684"/>
    <w:link w:val="644"/>
  </w:style>
  <w:style w:type="character" w:styleId="685">
    <w:name w:val="WW8Num2z2"/>
    <w:next w:val="685"/>
    <w:link w:val="644"/>
  </w:style>
  <w:style w:type="character" w:styleId="686">
    <w:name w:val="WW8Num2z3"/>
    <w:next w:val="686"/>
    <w:link w:val="644"/>
  </w:style>
  <w:style w:type="character" w:styleId="687">
    <w:name w:val="WW8Num2z4"/>
    <w:next w:val="687"/>
    <w:link w:val="644"/>
  </w:style>
  <w:style w:type="character" w:styleId="688">
    <w:name w:val="WW8Num2z5"/>
    <w:next w:val="688"/>
    <w:link w:val="644"/>
  </w:style>
  <w:style w:type="character" w:styleId="689">
    <w:name w:val="WW8Num2z6"/>
    <w:next w:val="689"/>
    <w:link w:val="644"/>
  </w:style>
  <w:style w:type="character" w:styleId="690">
    <w:name w:val="WW8Num2z7"/>
    <w:next w:val="690"/>
    <w:link w:val="644"/>
  </w:style>
  <w:style w:type="character" w:styleId="691">
    <w:name w:val="WW8Num2z8"/>
    <w:next w:val="691"/>
    <w:link w:val="644"/>
  </w:style>
  <w:style w:type="character" w:styleId="692">
    <w:name w:val="Основной шрифт абзаца2"/>
    <w:next w:val="692"/>
    <w:link w:val="644"/>
  </w:style>
  <w:style w:type="character" w:styleId="693">
    <w:name w:val="WW8Num3z1"/>
    <w:next w:val="693"/>
    <w:link w:val="644"/>
  </w:style>
  <w:style w:type="character" w:styleId="694">
    <w:name w:val="WW8Num3z2"/>
    <w:next w:val="694"/>
    <w:link w:val="644"/>
  </w:style>
  <w:style w:type="character" w:styleId="695">
    <w:name w:val="WW8Num3z3"/>
    <w:next w:val="695"/>
    <w:link w:val="644"/>
  </w:style>
  <w:style w:type="character" w:styleId="696">
    <w:name w:val="WW8Num3z4"/>
    <w:next w:val="696"/>
    <w:link w:val="644"/>
  </w:style>
  <w:style w:type="character" w:styleId="697">
    <w:name w:val="WW8Num3z5"/>
    <w:next w:val="697"/>
    <w:link w:val="644"/>
  </w:style>
  <w:style w:type="character" w:styleId="698">
    <w:name w:val="WW8Num3z6"/>
    <w:next w:val="698"/>
    <w:link w:val="644"/>
  </w:style>
  <w:style w:type="character" w:styleId="699">
    <w:name w:val="WW8Num3z7"/>
    <w:next w:val="699"/>
    <w:link w:val="644"/>
  </w:style>
  <w:style w:type="character" w:styleId="700">
    <w:name w:val="WW8Num3z8"/>
    <w:next w:val="700"/>
    <w:link w:val="644"/>
  </w:style>
  <w:style w:type="character" w:styleId="701">
    <w:name w:val="WW8Num7z3"/>
    <w:next w:val="701"/>
    <w:link w:val="644"/>
  </w:style>
  <w:style w:type="character" w:styleId="702">
    <w:name w:val="WW8Num7z4"/>
    <w:next w:val="702"/>
    <w:link w:val="644"/>
  </w:style>
  <w:style w:type="character" w:styleId="703">
    <w:name w:val="WW8Num7z5"/>
    <w:next w:val="703"/>
    <w:link w:val="644"/>
  </w:style>
  <w:style w:type="character" w:styleId="704">
    <w:name w:val="WW8Num7z6"/>
    <w:next w:val="704"/>
    <w:link w:val="644"/>
  </w:style>
  <w:style w:type="character" w:styleId="705">
    <w:name w:val="WW8Num7z7"/>
    <w:next w:val="705"/>
    <w:link w:val="644"/>
  </w:style>
  <w:style w:type="character" w:styleId="706">
    <w:name w:val="WW8Num7z8"/>
    <w:next w:val="706"/>
    <w:link w:val="644"/>
  </w:style>
  <w:style w:type="character" w:styleId="707">
    <w:name w:val="Основной шрифт абзаца1"/>
    <w:next w:val="707"/>
    <w:link w:val="644"/>
  </w:style>
  <w:style w:type="character" w:styleId="708">
    <w:name w:val="Гиперссылка"/>
    <w:next w:val="708"/>
    <w:link w:val="644"/>
    <w:rPr>
      <w:color w:val="000080"/>
      <w:u w:val="single"/>
      <w:lang w:val="en-US" w:bidi="en-US" w:eastAsia="en-US"/>
    </w:rPr>
  </w:style>
  <w:style w:type="character" w:styleId="709">
    <w:name w:val="Маркеры списка"/>
    <w:next w:val="709"/>
    <w:link w:val="644"/>
    <w:rPr>
      <w:rFonts w:ascii="OpenSymbol" w:hAnsi="OpenSymbol" w:eastAsia="OpenSymbol"/>
    </w:rPr>
  </w:style>
  <w:style w:type="character" w:styleId="710">
    <w:name w:val="Символ нумерации"/>
    <w:next w:val="710"/>
    <w:link w:val="644"/>
  </w:style>
  <w:style w:type="paragraph" w:styleId="711">
    <w:name w:val="Заголовок"/>
    <w:basedOn w:val="644"/>
    <w:next w:val="712"/>
    <w:link w:val="644"/>
    <w:rPr>
      <w:rFonts w:ascii="Arial" w:hAnsi="Arial" w:eastAsia="Microsoft YaHei"/>
      <w:sz w:val="28"/>
      <w:szCs w:val="28"/>
    </w:rPr>
    <w:pPr>
      <w:keepNext/>
      <w:spacing w:after="120" w:before="240"/>
    </w:pPr>
  </w:style>
  <w:style w:type="paragraph" w:styleId="712">
    <w:name w:val="Основной текст"/>
    <w:basedOn w:val="644"/>
    <w:next w:val="712"/>
    <w:link w:val="644"/>
    <w:pPr>
      <w:spacing w:after="120" w:before="0"/>
    </w:pPr>
  </w:style>
  <w:style w:type="paragraph" w:styleId="713">
    <w:name w:val="Список"/>
    <w:basedOn w:val="712"/>
    <w:next w:val="713"/>
    <w:link w:val="644"/>
  </w:style>
  <w:style w:type="paragraph" w:styleId="714">
    <w:name w:val="Название5"/>
    <w:basedOn w:val="644"/>
    <w:next w:val="714"/>
    <w:link w:val="644"/>
    <w:rPr>
      <w:i/>
      <w:iCs/>
      <w:sz w:val="24"/>
      <w:szCs w:val="24"/>
    </w:rPr>
    <w:pPr>
      <w:spacing w:after="120" w:before="120"/>
      <w:suppressLineNumbers/>
    </w:pPr>
  </w:style>
  <w:style w:type="paragraph" w:styleId="715">
    <w:name w:val="Указатель5"/>
    <w:basedOn w:val="644"/>
    <w:next w:val="715"/>
    <w:link w:val="644"/>
    <w:pPr>
      <w:suppressLineNumbers/>
    </w:pPr>
  </w:style>
  <w:style w:type="paragraph" w:styleId="716">
    <w:name w:val="Название4"/>
    <w:basedOn w:val="644"/>
    <w:next w:val="716"/>
    <w:link w:val="644"/>
    <w:rPr>
      <w:i/>
      <w:iCs/>
      <w:sz w:val="24"/>
      <w:szCs w:val="24"/>
    </w:rPr>
    <w:pPr>
      <w:spacing w:after="120" w:before="120"/>
      <w:suppressLineNumbers/>
    </w:pPr>
  </w:style>
  <w:style w:type="paragraph" w:styleId="717">
    <w:name w:val="Указатель4"/>
    <w:basedOn w:val="644"/>
    <w:next w:val="717"/>
    <w:link w:val="644"/>
    <w:pPr>
      <w:suppressLineNumbers/>
    </w:pPr>
  </w:style>
  <w:style w:type="paragraph" w:styleId="718">
    <w:name w:val="Название3"/>
    <w:basedOn w:val="644"/>
    <w:next w:val="718"/>
    <w:link w:val="644"/>
    <w:rPr>
      <w:i/>
      <w:iCs/>
      <w:sz w:val="24"/>
      <w:szCs w:val="24"/>
    </w:rPr>
    <w:pPr>
      <w:spacing w:after="120" w:before="120"/>
      <w:suppressLineNumbers/>
    </w:pPr>
  </w:style>
  <w:style w:type="paragraph" w:styleId="719">
    <w:name w:val="Указатель3"/>
    <w:basedOn w:val="644"/>
    <w:next w:val="719"/>
    <w:link w:val="644"/>
    <w:pPr>
      <w:suppressLineNumbers/>
    </w:pPr>
  </w:style>
  <w:style w:type="paragraph" w:styleId="720">
    <w:name w:val="Название2"/>
    <w:basedOn w:val="644"/>
    <w:next w:val="720"/>
    <w:link w:val="644"/>
    <w:rPr>
      <w:i/>
      <w:iCs/>
      <w:sz w:val="24"/>
      <w:szCs w:val="24"/>
    </w:rPr>
    <w:pPr>
      <w:spacing w:after="120" w:before="120"/>
      <w:suppressLineNumbers/>
    </w:pPr>
  </w:style>
  <w:style w:type="paragraph" w:styleId="721">
    <w:name w:val="Указатель2"/>
    <w:basedOn w:val="644"/>
    <w:next w:val="721"/>
    <w:link w:val="644"/>
    <w:pPr>
      <w:suppressLineNumbers/>
    </w:pPr>
  </w:style>
  <w:style w:type="paragraph" w:styleId="722">
    <w:name w:val="Название1"/>
    <w:basedOn w:val="644"/>
    <w:next w:val="722"/>
    <w:link w:val="644"/>
    <w:rPr>
      <w:i/>
      <w:iCs/>
      <w:sz w:val="24"/>
      <w:szCs w:val="24"/>
    </w:rPr>
    <w:pPr>
      <w:spacing w:after="120" w:before="120"/>
      <w:suppressLineNumbers/>
    </w:pPr>
  </w:style>
  <w:style w:type="paragraph" w:styleId="723">
    <w:name w:val="Указатель1"/>
    <w:basedOn w:val="644"/>
    <w:next w:val="723"/>
    <w:link w:val="644"/>
    <w:pPr>
      <w:suppressLineNumbers/>
    </w:pPr>
  </w:style>
  <w:style w:type="paragraph" w:styleId="724">
    <w:name w:val="Текст выноски"/>
    <w:basedOn w:val="644"/>
    <w:next w:val="724"/>
    <w:link w:val="644"/>
    <w:rPr>
      <w:rFonts w:ascii="Tahoma" w:hAnsi="Tahoma"/>
      <w:sz w:val="16"/>
      <w:szCs w:val="16"/>
    </w:rPr>
  </w:style>
  <w:style w:type="paragraph" w:styleId="725">
    <w:name w:val="ConsPlusNormal"/>
    <w:next w:val="725"/>
    <w:link w:val="644"/>
    <w:rPr>
      <w:rFonts w:ascii="Times New Roman" w:hAnsi="Times New Roman" w:eastAsia="Times New Roman"/>
      <w:color w:val="auto"/>
      <w:sz w:val="24"/>
      <w:szCs w:val="24"/>
      <w:lang w:val="ru-RU" w:bidi="ar-SA" w:eastAsia="ar-SA"/>
    </w:rPr>
    <w:pPr>
      <w:widowControl/>
    </w:pPr>
  </w:style>
  <w:style w:type="paragraph" w:styleId="726">
    <w:name w:val="ConsPlusCell"/>
    <w:next w:val="726"/>
    <w:link w:val="644"/>
    <w:rPr>
      <w:rFonts w:ascii="Courier New" w:hAnsi="Courier New" w:eastAsia="Times New Roman"/>
      <w:color w:val="auto"/>
      <w:sz w:val="20"/>
      <w:szCs w:val="20"/>
      <w:lang w:val="ru-RU" w:bidi="ar-SA" w:eastAsia="ar-SA"/>
    </w:rPr>
    <w:pPr>
      <w:widowControl/>
    </w:pPr>
  </w:style>
  <w:style w:type="paragraph" w:styleId="727">
    <w:name w:val="Содержимое таблицы"/>
    <w:basedOn w:val="644"/>
    <w:next w:val="727"/>
    <w:link w:val="644"/>
    <w:pPr>
      <w:suppressLineNumbers/>
    </w:pPr>
  </w:style>
  <w:style w:type="paragraph" w:styleId="728">
    <w:name w:val="Заголовок таблицы"/>
    <w:basedOn w:val="727"/>
    <w:next w:val="728"/>
    <w:link w:val="644"/>
    <w:rPr>
      <w:b/>
      <w:bCs/>
    </w:rPr>
    <w:pPr>
      <w:jc w:val="center"/>
      <w:suppressLineNumbers/>
    </w:pPr>
  </w:style>
  <w:style w:type="character" w:styleId="729" w:default="1">
    <w:name w:val="Default Paragraph Font"/>
    <w:uiPriority w:val="1"/>
    <w:semiHidden/>
    <w:unhideWhenUsed/>
  </w:style>
  <w:style w:type="numbering" w:styleId="730" w:default="1">
    <w:name w:val="No List"/>
    <w:uiPriority w:val="99"/>
    <w:semiHidden/>
    <w:unhideWhenUsed/>
  </w:style>
  <w:style w:type="paragraph" w:styleId="731" w:default="1">
    <w:name w:val="Normal"/>
    <w:qFormat/>
  </w:style>
  <w:style w:type="table" w:styleId="73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Р7-Офис/6.1.0.68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11</cp:revision>
  <dcterms:modified xsi:type="dcterms:W3CDTF">2021-03-29T13:21:52Z</dcterms:modified>
</cp:coreProperties>
</file>